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6213E"/>
          <w:sz w:val="64"/>
          <w:szCs w:val="64"/>
        </w:rPr>
        <w:t xml:space="preserve">CloudPulse AI</w:t>
      </w:r>
    </w:p>
    <w:p>
      <w:pPr>
        <w:spacing w:after="120"/>
        <w:jc w:val="center"/>
      </w:pPr>
      <w:r>
        <w:rPr>
          <w:color w:val="1F6FEB"/>
          <w:sz w:val="36"/>
          <w:szCs w:val="36"/>
        </w:rPr>
        <w:t xml:space="preserve">Engineering Guide</w:t>
      </w:r>
    </w:p>
    <w:p>
      <w:pPr>
        <w:spacing w:after="200"/>
        <w:jc w:val="center"/>
      </w:pPr>
      <w:r>
        <w:rPr>
          <w:color w:val="555555"/>
          <w:sz w:val="22"/>
          <w:szCs w:val="22"/>
        </w:rPr>
        <w:t xml:space="preserve">Repository layout • CI/CD pipelines • Deployment &amp; teardown • Cloud connector framework • Runbooks</w:t>
      </w:r>
    </w:p>
    <w:p>
      <w:pPr>
        <w:jc w:val="center"/>
      </w:pPr>
      <w:r>
        <w:rPr>
          <w:color w:val="555555"/>
          <w:sz w:val="20"/>
          <w:szCs w:val="20"/>
        </w:rPr>
        <w:t xml:space="preserve">v2.0, as built — October 2026 — companion to the README, Plan &amp; Tech Stack Guide, Architecture deck and Backlog</w:t>
      </w:r>
    </w:p>
    <w:p>
      <w:r>
        <w:br w:type="page"/>
      </w:r>
    </w:p>
    <w:p>
      <w:pPr>
        <w:pStyle w:val="Heading1"/>
        <w:spacing w:after="160" w:before="360"/>
      </w:pPr>
      <w:r>
        <w:rPr>
          <w:color w:val="16213E"/>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6213E"/>
        </w:rPr>
        <w:t xml:space="preserve">1. Repository Layout (Monorepo)</w:t>
      </w:r>
    </w:p>
    <w:p>
      <w:pPr>
        <w:spacing w:after="120" w:line="276"/>
      </w:pPr>
      <w:r>
        <w:t xml:space="preserve">One repository lets a solo maintainer change API, workers, infrastructure, agent and UI atomically in one pull request. The README's project map explains every folder and file; this is the outline.</w:t>
      </w:r>
    </w:p>
    <w:p>
      <w:pPr>
        <w:shd w:fill="F2F4F8" w:val="clear"/>
        <w:spacing w:after="0"/>
      </w:pPr>
      <w:r>
        <w:rPr>
          <w:rFonts w:ascii="Consolas" w:cs="Consolas" w:eastAsia="Consolas" w:hAnsi="Consolas"/>
          <w:sz w:val="17"/>
          <w:szCs w:val="17"/>
        </w:rPr>
        <w:t xml:space="preserve">cloudpulse-ai/</w:t>
      </w:r>
    </w:p>
    <w:p>
      <w:pPr>
        <w:shd w:fill="F2F4F8" w:val="clear"/>
        <w:spacing w:after="0"/>
      </w:pPr>
      <w:r>
        <w:rPr>
          <w:rFonts w:ascii="Consolas" w:cs="Consolas" w:eastAsia="Consolas" w:hAnsi="Consolas"/>
          <w:sz w:val="17"/>
          <w:szCs w:val="17"/>
        </w:rPr>
        <w:t xml:space="preserve">├─ infra/                    # Terraform</w:t>
      </w:r>
    </w:p>
    <w:p>
      <w:pPr>
        <w:shd w:fill="F2F4F8" w:val="clear"/>
        <w:spacing w:after="0"/>
      </w:pPr>
      <w:r>
        <w:rPr>
          <w:rFonts w:ascii="Consolas" w:cs="Consolas" w:eastAsia="Consolas" w:hAnsi="Consolas"/>
          <w:sz w:val="17"/>
          <w:szCs w:val="17"/>
        </w:rPr>
        <w:t xml:space="preserve">│  ├─ bootstrap/             # state backend + GitHub OIDC trust (by hand, once)</w:t>
      </w:r>
    </w:p>
    <w:p>
      <w:pPr>
        <w:shd w:fill="F2F4F8" w:val="clear"/>
        <w:spacing w:after="0"/>
      </w:pPr>
      <w:r>
        <w:rPr>
          <w:rFonts w:ascii="Consolas" w:cs="Consolas" w:eastAsia="Consolas" w:hAnsi="Consolas"/>
          <w:sz w:val="17"/>
          <w:szCs w:val="17"/>
        </w:rPr>
        <w:t xml:space="preserve">│  ├─ modules/               # network, database, identity, api, frontend, storage,</w:t>
      </w:r>
    </w:p>
    <w:p>
      <w:pPr>
        <w:shd w:fill="F2F4F8" w:val="clear"/>
        <w:spacing w:after="0"/>
      </w:pPr>
      <w:r>
        <w:rPr>
          <w:rFonts w:ascii="Consolas" w:cs="Consolas" w:eastAsia="Consolas" w:hAnsi="Consolas"/>
          <w:sz w:val="17"/>
          <w:szCs w:val="17"/>
        </w:rPr>
        <w:t xml:space="preserve">│  │                         # scan, governance, cost, agents, observability</w:t>
      </w:r>
    </w:p>
    <w:p>
      <w:pPr>
        <w:shd w:fill="F2F4F8" w:val="clear"/>
        <w:spacing w:after="0"/>
      </w:pPr>
      <w:r>
        <w:rPr>
          <w:rFonts w:ascii="Consolas" w:cs="Consolas" w:eastAsia="Consolas" w:hAnsi="Consolas"/>
          <w:sz w:val="17"/>
          <w:szCs w:val="17"/>
        </w:rPr>
        <w:t xml:space="preserve">│  └─ envs/dev/ envs/prod/   # root modules (dev is the one environment)</w:t>
      </w:r>
    </w:p>
    <w:p>
      <w:pPr>
        <w:shd w:fill="F2F4F8" w:val="clear"/>
        <w:spacing w:after="0"/>
      </w:pPr>
      <w:r>
        <w:rPr>
          <w:rFonts w:ascii="Consolas" w:cs="Consolas" w:eastAsia="Consolas" w:hAnsi="Consolas"/>
          <w:sz w:val="17"/>
          <w:szCs w:val="17"/>
        </w:rPr>
        <w:t xml:space="preserve">├─ backend/</w:t>
      </w:r>
    </w:p>
    <w:p>
      <w:pPr>
        <w:shd w:fill="F2F4F8" w:val="clear"/>
        <w:spacing w:after="0"/>
      </w:pPr>
      <w:r>
        <w:rPr>
          <w:rFonts w:ascii="Consolas" w:cs="Consolas" w:eastAsia="Consolas" w:hAnsi="Consolas"/>
          <w:sz w:val="17"/>
          <w:szCs w:val="17"/>
        </w:rPr>
        <w:t xml:space="preserve">│  ├─ app/api/               # FastAPI app, routers, error envelope, middleware</w:t>
      </w:r>
    </w:p>
    <w:p>
      <w:pPr>
        <w:shd w:fill="F2F4F8" w:val="clear"/>
        <w:spacing w:after="0"/>
      </w:pPr>
      <w:r>
        <w:rPr>
          <w:rFonts w:ascii="Consolas" w:cs="Consolas" w:eastAsia="Consolas" w:hAnsi="Consolas"/>
          <w:sz w:val="17"/>
          <w:szCs w:val="17"/>
        </w:rPr>
        <w:t xml:space="preserve">│  ├─ app/core/              # settings, tenant-scoped DB, security, audit, logging</w:t>
      </w:r>
    </w:p>
    <w:p>
      <w:pPr>
        <w:shd w:fill="F2F4F8" w:val="clear"/>
        <w:spacing w:after="0"/>
      </w:pPr>
      <w:r>
        <w:rPr>
          <w:rFonts w:ascii="Consolas" w:cs="Consolas" w:eastAsia="Consolas" w:hAnsi="Consolas"/>
          <w:sz w:val="17"/>
          <w:szCs w:val="17"/>
        </w:rPr>
        <w:t xml:space="preserve">│  ├─ app/governance/        # rules, scoring, ownership, cost, grounding, AI pipelines</w:t>
      </w:r>
    </w:p>
    <w:p>
      <w:pPr>
        <w:shd w:fill="F2F4F8" w:val="clear"/>
        <w:spacing w:after="0"/>
      </w:pPr>
      <w:r>
        <w:rPr>
          <w:rFonts w:ascii="Consolas" w:cs="Consolas" w:eastAsia="Consolas" w:hAnsi="Consolas"/>
          <w:sz w:val="17"/>
          <w:szCs w:val="17"/>
        </w:rPr>
        <w:t xml:space="preserve">│  ├─ app/scan/              # discovery, enrichment, orchestration, coverage data</w:t>
      </w:r>
    </w:p>
    <w:p>
      <w:pPr>
        <w:shd w:fill="F2F4F8" w:val="clear"/>
        <w:spacing w:after="0"/>
      </w:pPr>
      <w:r>
        <w:rPr>
          <w:rFonts w:ascii="Consolas" w:cs="Consolas" w:eastAsia="Consolas" w:hAnsi="Consolas"/>
          <w:sz w:val="17"/>
          <w:szCs w:val="17"/>
        </w:rPr>
        <w:t xml:space="preserve">│  ├─ app/models/            # SQLAlchemy models (26 tables)</w:t>
      </w:r>
    </w:p>
    <w:p>
      <w:pPr>
        <w:shd w:fill="F2F4F8" w:val="clear"/>
        <w:spacing w:after="0"/>
      </w:pPr>
      <w:r>
        <w:rPr>
          <w:rFonts w:ascii="Consolas" w:cs="Consolas" w:eastAsia="Consolas" w:hAnsi="Consolas"/>
          <w:sz w:val="17"/>
          <w:szCs w:val="17"/>
        </w:rPr>
        <w:t xml:space="preserve">│  ├─ connectors/            # base.py (protocol) + aws.py (all AWS SDK code)</w:t>
      </w:r>
    </w:p>
    <w:p>
      <w:pPr>
        <w:shd w:fill="F2F4F8" w:val="clear"/>
        <w:spacing w:after="0"/>
      </w:pPr>
      <w:r>
        <w:rPr>
          <w:rFonts w:ascii="Consolas" w:cs="Consolas" w:eastAsia="Consolas" w:hAnsi="Consolas"/>
          <w:sz w:val="17"/>
          <w:szCs w:val="17"/>
        </w:rPr>
        <w:t xml:space="preserve">│  ├─ handlers/              # one Lambda entry point per function</w:t>
      </w:r>
    </w:p>
    <w:p>
      <w:pPr>
        <w:shd w:fill="F2F4F8" w:val="clear"/>
        <w:spacing w:after="0"/>
      </w:pPr>
      <w:r>
        <w:rPr>
          <w:rFonts w:ascii="Consolas" w:cs="Consolas" w:eastAsia="Consolas" w:hAnsi="Consolas"/>
          <w:sz w:val="17"/>
          <w:szCs w:val="17"/>
        </w:rPr>
        <w:t xml:space="preserve">│  ├─ migrations/            # Alembic (17 additive revisions)</w:t>
      </w:r>
    </w:p>
    <w:p>
      <w:pPr>
        <w:shd w:fill="F2F4F8" w:val="clear"/>
        <w:spacing w:after="0"/>
      </w:pPr>
      <w:r>
        <w:rPr>
          <w:rFonts w:ascii="Consolas" w:cs="Consolas" w:eastAsia="Consolas" w:hAnsi="Consolas"/>
          <w:sz w:val="17"/>
          <w:szCs w:val="17"/>
        </w:rPr>
        <w:t xml:space="preserve">│  └─ tests/                 # unit (moto) + integration (Testcontainers, LocalStack)</w:t>
      </w:r>
    </w:p>
    <w:p>
      <w:pPr>
        <w:shd w:fill="F2F4F8" w:val="clear"/>
        <w:spacing w:after="0"/>
      </w:pPr>
      <w:r>
        <w:rPr>
          <w:rFonts w:ascii="Consolas" w:cs="Consolas" w:eastAsia="Consolas" w:hAnsi="Consolas"/>
          <w:sz w:val="17"/>
          <w:szCs w:val="17"/>
        </w:rPr>
        <w:t xml:space="preserve">├─ frontend/                 # Angular 18 SPA + Playwright e2e</w:t>
      </w:r>
    </w:p>
    <w:p>
      <w:pPr>
        <w:shd w:fill="F2F4F8" w:val="clear"/>
        <w:spacing w:after="0"/>
      </w:pPr>
      <w:r>
        <w:rPr>
          <w:rFonts w:ascii="Consolas" w:cs="Consolas" w:eastAsia="Consolas" w:hAnsi="Consolas"/>
          <w:sz w:val="17"/>
          <w:szCs w:val="17"/>
        </w:rPr>
        <w:t xml:space="preserve">├─ agents/                   # AgentCore runtime, definitions, prompts, tools, evals</w:t>
      </w:r>
    </w:p>
    <w:p>
      <w:pPr>
        <w:shd w:fill="F2F4F8" w:val="clear"/>
        <w:spacing w:after="0"/>
      </w:pPr>
      <w:r>
        <w:rPr>
          <w:rFonts w:ascii="Consolas" w:cs="Consolas" w:eastAsia="Consolas" w:hAnsi="Consolas"/>
          <w:sz w:val="17"/>
          <w:szCs w:val="17"/>
        </w:rPr>
        <w:t xml:space="preserve">├─ ops/                      # teardown.sh, CI gate scripts, runbooks, ERD</w:t>
      </w:r>
    </w:p>
    <w:p>
      <w:pPr>
        <w:shd w:fill="F2F4F8" w:val="clear"/>
        <w:spacing w:after="0"/>
      </w:pPr>
      <w:r>
        <w:rPr>
          <w:rFonts w:ascii="Consolas" w:cs="Consolas" w:eastAsia="Consolas" w:hAnsi="Consolas"/>
          <w:sz w:val="17"/>
          <w:szCs w:val="17"/>
        </w:rPr>
        <w:t xml:space="preserve">├─ specs/                    # six feature specs: spec, plan, research, tasks …</w:t>
      </w:r>
    </w:p>
    <w:p>
      <w:pPr>
        <w:shd w:fill="F2F4F8" w:val="clear"/>
        <w:spacing w:after="0"/>
      </w:pPr>
      <w:r>
        <w:rPr>
          <w:rFonts w:ascii="Consolas" w:cs="Consolas" w:eastAsia="Consolas" w:hAnsi="Consolas"/>
          <w:sz w:val="17"/>
          <w:szCs w:val="17"/>
        </w:rPr>
        <w:t xml:space="preserve">└─ .github/workflows/        # ci, constitution-review, deploy-dev, deploy-prod</w:t>
      </w:r>
    </w:p>
    <w:p>
      <w:pPr>
        <w:spacing w:after="120"/>
      </w:pPr>
    </w:p>
    <w:p>
      <w:pPr>
        <w:pStyle w:val="Heading1"/>
        <w:spacing w:after="160" w:before="360"/>
      </w:pPr>
      <w:r>
        <w:rPr>
          <w:color w:val="16213E"/>
        </w:rPr>
        <w:t xml:space="preserve">2. CI/CD — GitHub Actions with OIDC</w:t>
      </w:r>
    </w:p>
    <w:p>
      <w:pPr>
        <w:spacing w:after="120" w:line="276"/>
      </w:pPr>
      <w:r>
        <w:t xml:space="preserve">No long-lived AWS keys anywhere. The bootstrap registers GitHub's OIDC provider once; deploys assume a scoped role. </w:t>
      </w:r>
      <w:r>
        <w:rPr>
          <w:b/>
          <w:bCs/>
        </w:rPr>
        <w:t xml:space="preserve">Trunk-based development on pods/pod73:</w:t>
      </w:r>
      <w:r>
        <w:t xml:space="preserve"> short-lived pods/pod73-* branches, one pull request each, merged only when all 16 required checks are green.</w:t>
      </w:r>
    </w:p>
    <w:p>
      <w:pPr>
        <w:pStyle w:val="Heading2"/>
        <w:spacing w:after="120" w:before="280"/>
      </w:pPr>
      <w:r>
        <w:rPr>
          <w:color w:val="1F6FEB"/>
        </w:rPr>
        <w:t xml:space="preserve">2.1 CI on every pull request (ci.yml + constitution-review.yml)</w:t>
      </w:r>
    </w:p>
    <w:p>
      <w:pPr>
        <w:shd w:fill="F2F4F8" w:val="clear"/>
        <w:spacing w:after="0"/>
      </w:pPr>
      <w:r>
        <w:rPr>
          <w:rFonts w:ascii="Consolas" w:cs="Consolas" w:eastAsia="Consolas" w:hAnsi="Consolas"/>
          <w:sz w:val="17"/>
          <w:szCs w:val="17"/>
        </w:rPr>
        <w:t xml:space="preserve">on: { pull_request: { branches: [pods/pod73] } }</w:t>
      </w:r>
    </w:p>
    <w:p>
      <w:pPr>
        <w:shd w:fill="F2F4F8" w:val="clear"/>
        <w:spacing w:after="0"/>
      </w:pPr>
      <w:r>
        <w:rPr>
          <w:rFonts w:ascii="Consolas" w:cs="Consolas" w:eastAsia="Consolas" w:hAnsi="Consolas"/>
          <w:sz w:val="17"/>
          <w:szCs w:val="17"/>
        </w:rPr>
        <w:t xml:space="preserve">required checks (branch protection, no override):</w:t>
      </w:r>
    </w:p>
    <w:p>
      <w:pPr>
        <w:shd w:fill="F2F4F8" w:val="clear"/>
        <w:spacing w:after="0"/>
      </w:pPr>
      <w:r>
        <w:rPr>
          <w:rFonts w:ascii="Consolas" w:cs="Consolas" w:eastAsia="Consolas" w:hAnsi="Consolas"/>
          <w:sz w:val="17"/>
          <w:szCs w:val="17"/>
        </w:rPr>
        <w:t xml:space="preserve">  lint (ruff)                 ruff check + ruff format --check</w:t>
      </w:r>
    </w:p>
    <w:p>
      <w:pPr>
        <w:shd w:fill="F2F4F8" w:val="clear"/>
        <w:spacing w:after="0"/>
      </w:pPr>
      <w:r>
        <w:rPr>
          <w:rFonts w:ascii="Consolas" w:cs="Consolas" w:eastAsia="Consolas" w:hAnsi="Consolas"/>
          <w:sz w:val="17"/>
          <w:szCs w:val="17"/>
        </w:rPr>
        <w:t xml:space="preserve">  typecheck (mypy)            mypy . — strict, whole backend</w:t>
      </w:r>
    </w:p>
    <w:p>
      <w:pPr>
        <w:shd w:fill="F2F4F8" w:val="clear"/>
        <w:spacing w:after="0"/>
      </w:pPr>
      <w:r>
        <w:rPr>
          <w:rFonts w:ascii="Consolas" w:cs="Consolas" w:eastAsia="Consolas" w:hAnsi="Consolas"/>
          <w:sz w:val="17"/>
          <w:szCs w:val="17"/>
        </w:rPr>
        <w:t xml:space="preserve">  test (pytest + moto)        656 unit tests; real AWS credentials rejected</w:t>
      </w:r>
    </w:p>
    <w:p>
      <w:pPr>
        <w:shd w:fill="F2F4F8" w:val="clear"/>
        <w:spacing w:after="0"/>
      </w:pPr>
      <w:r>
        <w:rPr>
          <w:rFonts w:ascii="Consolas" w:cs="Consolas" w:eastAsia="Consolas" w:hAnsi="Consolas"/>
          <w:sz w:val="17"/>
          <w:szCs w:val="17"/>
        </w:rPr>
        <w:t xml:space="preserve">  integration                 475 tests on Testcontainers PostgreSQL + LocalStack</w:t>
      </w:r>
    </w:p>
    <w:p>
      <w:pPr>
        <w:shd w:fill="F2F4F8" w:val="clear"/>
        <w:spacing w:after="0"/>
      </w:pPr>
      <w:r>
        <w:rPr>
          <w:rFonts w:ascii="Consolas" w:cs="Consolas" w:eastAsia="Consolas" w:hAnsi="Consolas"/>
          <w:sz w:val="17"/>
          <w:szCs w:val="17"/>
        </w:rPr>
        <w:t xml:space="preserve">  frontend                    lint (a11y rules) + build + Playwright e2e</w:t>
      </w:r>
    </w:p>
    <w:p>
      <w:pPr>
        <w:shd w:fill="F2F4F8" w:val="clear"/>
        <w:spacing w:after="0"/>
      </w:pPr>
      <w:r>
        <w:rPr>
          <w:rFonts w:ascii="Consolas" w:cs="Consolas" w:eastAsia="Consolas" w:hAnsi="Consolas"/>
          <w:sz w:val="17"/>
          <w:szCs w:val="17"/>
        </w:rPr>
        <w:t xml:space="preserve">  terraform  (dev, prod)      fmt + validate + ASCII + Step Functions ASL</w:t>
      </w:r>
    </w:p>
    <w:p>
      <w:pPr>
        <w:shd w:fill="F2F4F8" w:val="clear"/>
        <w:spacing w:after="0"/>
      </w:pPr>
      <w:r>
        <w:rPr>
          <w:rFonts w:ascii="Consolas" w:cs="Consolas" w:eastAsia="Consolas" w:hAnsi="Consolas"/>
          <w:sz w:val="17"/>
          <w:szCs w:val="17"/>
        </w:rPr>
        <w:t xml:space="preserve">  secret-scan                 gitleaks across the diff</w:t>
      </w:r>
    </w:p>
    <w:p>
      <w:pPr>
        <w:shd w:fill="F2F4F8" w:val="clear"/>
        <w:spacing w:after="0"/>
      </w:pPr>
      <w:r>
        <w:rPr>
          <w:rFonts w:ascii="Consolas" w:cs="Consolas" w:eastAsia="Consolas" w:hAnsi="Consolas"/>
          <w:sz w:val="17"/>
          <w:szCs w:val="17"/>
        </w:rPr>
        <w:t xml:space="preserve">  contract-compat (oasdiff)   no breaking API change</w:t>
      </w:r>
    </w:p>
    <w:p>
      <w:pPr>
        <w:shd w:fill="F2F4F8" w:val="clear"/>
        <w:spacing w:after="0"/>
      </w:pPr>
      <w:r>
        <w:rPr>
          <w:rFonts w:ascii="Consolas" w:cs="Consolas" w:eastAsia="Consolas" w:hAnsi="Consolas"/>
          <w:sz w:val="17"/>
          <w:szCs w:val="17"/>
        </w:rPr>
        <w:t xml:space="preserve">  client-drift                generated Angular client matches the contract</w:t>
      </w:r>
    </w:p>
    <w:p>
      <w:pPr>
        <w:shd w:fill="F2F4F8" w:val="clear"/>
        <w:spacing w:after="0"/>
      </w:pPr>
      <w:r>
        <w:rPr>
          <w:rFonts w:ascii="Consolas" w:cs="Consolas" w:eastAsia="Consolas" w:hAnsi="Consolas"/>
          <w:sz w:val="17"/>
          <w:szCs w:val="17"/>
        </w:rPr>
        <w:t xml:space="preserve">  dependency-allowlist        no non-AWS AI SDK in any manifest</w:t>
      </w:r>
    </w:p>
    <w:p>
      <w:pPr>
        <w:shd w:fill="F2F4F8" w:val="clear"/>
        <w:spacing w:after="0"/>
      </w:pPr>
      <w:r>
        <w:rPr>
          <w:rFonts w:ascii="Consolas" w:cs="Consolas" w:eastAsia="Consolas" w:hAnsi="Consolas"/>
          <w:sz w:val="17"/>
          <w:szCs w:val="17"/>
        </w:rPr>
        <w:t xml:space="preserve">  connector-boundary          no AWS SDK outside connectors/</w:t>
      </w:r>
    </w:p>
    <w:p>
      <w:pPr>
        <w:shd w:fill="F2F4F8" w:val="clear"/>
        <w:spacing w:after="0"/>
      </w:pPr>
      <w:r>
        <w:rPr>
          <w:rFonts w:ascii="Consolas" w:cs="Consolas" w:eastAsia="Consolas" w:hAnsi="Consolas"/>
          <w:sz w:val="17"/>
          <w:szCs w:val="17"/>
        </w:rPr>
        <w:t xml:space="preserve">  erd-current                 the ERD matches the models</w:t>
      </w:r>
    </w:p>
    <w:p>
      <w:pPr>
        <w:shd w:fill="F2F4F8" w:val="clear"/>
        <w:spacing w:after="0"/>
      </w:pPr>
      <w:r>
        <w:rPr>
          <w:rFonts w:ascii="Consolas" w:cs="Consolas" w:eastAsia="Consolas" w:hAnsi="Consolas"/>
          <w:sz w:val="17"/>
          <w:szCs w:val="17"/>
        </w:rPr>
        <w:t xml:space="preserve">  pr-task-reference           the PR body cites a task ID</w:t>
      </w:r>
    </w:p>
    <w:p>
      <w:pPr>
        <w:shd w:fill="F2F4F8" w:val="clear"/>
        <w:spacing w:after="0"/>
      </w:pPr>
      <w:r>
        <w:rPr>
          <w:rFonts w:ascii="Consolas" w:cs="Consolas" w:eastAsia="Consolas" w:hAnsi="Consolas"/>
          <w:sz w:val="17"/>
          <w:szCs w:val="17"/>
        </w:rPr>
        <w:t xml:space="preserve">  agent-evals                 16 recorded cases through the grounding validator</w:t>
      </w:r>
    </w:p>
    <w:p>
      <w:pPr>
        <w:shd w:fill="F2F4F8" w:val="clear"/>
        <w:spacing w:after="0"/>
      </w:pPr>
      <w:r>
        <w:rPr>
          <w:rFonts w:ascii="Consolas" w:cs="Consolas" w:eastAsia="Consolas" w:hAnsi="Consolas"/>
          <w:sz w:val="17"/>
          <w:szCs w:val="17"/>
        </w:rPr>
        <w:t xml:space="preserve">  constitution-review         Claude records a review on the head commit</w:t>
      </w:r>
    </w:p>
    <w:p>
      <w:pPr>
        <w:spacing w:after="120"/>
      </w:pPr>
    </w:p>
    <w:p>
      <w:pPr>
        <w:pStyle w:val="Heading2"/>
        <w:spacing w:after="120" w:before="280"/>
      </w:pPr>
      <w:r>
        <w:rPr>
          <w:color w:val="1F6FEB"/>
        </w:rPr>
        <w:t xml:space="preserve">2.2 Deploy (deploy-dev.yml)</w:t>
      </w:r>
    </w:p>
    <w:p>
      <w:pPr>
        <w:shd w:fill="F2F4F8" w:val="clear"/>
        <w:spacing w:after="0"/>
      </w:pPr>
      <w:r>
        <w:rPr>
          <w:rFonts w:ascii="Consolas" w:cs="Consolas" w:eastAsia="Consolas" w:hAnsi="Consolas"/>
          <w:sz w:val="17"/>
          <w:szCs w:val="17"/>
        </w:rPr>
        <w:t xml:space="preserve">on: workflow_dispatch   # inputs: enable_egress, enable_agent_endpoints</w:t>
      </w:r>
    </w:p>
    <w:p>
      <w:pPr>
        <w:shd w:fill="F2F4F8" w:val="clear"/>
        <w:spacing w:after="0"/>
      </w:pPr>
      <w:r>
        <w:rPr>
          <w:rFonts w:ascii="Consolas" w:cs="Consolas" w:eastAsia="Consolas" w:hAnsi="Consolas"/>
          <w:sz w:val="17"/>
          <w:szCs w:val="17"/>
        </w:rPr>
        <w:t xml:space="preserve"># a push to pods/pod73 deploys only if DEV_AUTO_DEPLOY is true — it is false</w:t>
      </w:r>
    </w:p>
    <w:p>
      <w:pPr>
        <w:shd w:fill="F2F4F8" w:val="clear"/>
        <w:spacing w:after="0"/>
      </w:pPr>
      <w:r>
        <w:rPr>
          <w:rFonts w:ascii="Consolas" w:cs="Consolas" w:eastAsia="Consolas" w:hAnsi="Consolas"/>
          <w:sz w:val="17"/>
          <w:szCs w:val="17"/>
        </w:rPr>
        <w:t xml:space="preserve">concurrency: one deploy per environment, never cancelled mid-apply</w:t>
      </w:r>
    </w:p>
    <w:p>
      <w:pPr>
        <w:shd w:fill="F2F4F8" w:val="clear"/>
        <w:spacing w:after="0"/>
      </w:pPr>
      <w:r>
        <w:rPr>
          <w:rFonts w:ascii="Consolas" w:cs="Consolas" w:eastAsia="Consolas" w:hAnsi="Consolas"/>
          <w:sz w:val="17"/>
          <w:szCs w:val="17"/>
        </w:rPr>
        <w:t xml:space="preserve">steps:</w:t>
      </w:r>
    </w:p>
    <w:p>
      <w:pPr>
        <w:shd w:fill="F2F4F8" w:val="clear"/>
        <w:spacing w:after="0"/>
      </w:pPr>
      <w:r>
        <w:rPr>
          <w:rFonts w:ascii="Consolas" w:cs="Consolas" w:eastAsia="Consolas" w:hAnsi="Consolas"/>
          <w:sz w:val="17"/>
          <w:szCs w:val="17"/>
        </w:rPr>
        <w:t xml:space="preserve">  - assume cloudpulse-dev-github-deploy (OIDC)</w:t>
      </w:r>
    </w:p>
    <w:p>
      <w:pPr>
        <w:shd w:fill="F2F4F8" w:val="clear"/>
        <w:spacing w:after="0"/>
      </w:pPr>
      <w:r>
        <w:rPr>
          <w:rFonts w:ascii="Consolas" w:cs="Consolas" w:eastAsia="Consolas" w:hAnsi="Consolas"/>
          <w:sz w:val="17"/>
          <w:szCs w:val="17"/>
        </w:rPr>
        <w:t xml:space="preserve">  - build the Lambda package, the AgentCore agent zip and the Angular SPA</w:t>
      </w:r>
    </w:p>
    <w:p>
      <w:pPr>
        <w:shd w:fill="F2F4F8" w:val="clear"/>
        <w:spacing w:after="0"/>
      </w:pPr>
      <w:r>
        <w:rPr>
          <w:rFonts w:ascii="Consolas" w:cs="Consolas" w:eastAsia="Consolas" w:hAnsi="Consolas"/>
          <w:sz w:val="17"/>
          <w:szCs w:val="17"/>
        </w:rPr>
        <w:t xml:space="preserve">  - terraform apply infra/envs/dev with the dispatch inputs</w:t>
      </w:r>
    </w:p>
    <w:p>
      <w:pPr>
        <w:shd w:fill="F2F4F8" w:val="clear"/>
        <w:spacing w:after="0"/>
      </w:pPr>
      <w:r>
        <w:rPr>
          <w:rFonts w:ascii="Consolas" w:cs="Consolas" w:eastAsia="Consolas" w:hAnsi="Consolas"/>
          <w:sz w:val="17"/>
          <w:szCs w:val="17"/>
        </w:rPr>
        <w:t xml:space="preserve">  - run Alembic migrations through the in-VPC migrate Lambda</w:t>
      </w:r>
    </w:p>
    <w:p>
      <w:pPr>
        <w:shd w:fill="F2F4F8" w:val="clear"/>
        <w:spacing w:after="0"/>
      </w:pPr>
      <w:r>
        <w:rPr>
          <w:rFonts w:ascii="Consolas" w:cs="Consolas" w:eastAsia="Consolas" w:hAnsi="Consolas"/>
          <w:sz w:val="17"/>
          <w:szCs w:val="17"/>
        </w:rPr>
        <w:t xml:space="preserve">  - inject runtime config into index.html, sync the SPA, invalidate CloudFront</w:t>
      </w:r>
    </w:p>
    <w:p>
      <w:pPr>
        <w:shd w:fill="F2F4F8" w:val="clear"/>
        <w:spacing w:after="0"/>
      </w:pPr>
      <w:r>
        <w:rPr>
          <w:rFonts w:ascii="Consolas" w:cs="Consolas" w:eastAsia="Consolas" w:hAnsi="Consolas"/>
          <w:sz w:val="17"/>
          <w:szCs w:val="17"/>
        </w:rPr>
        <w:t xml:space="preserve">  - smoke: /health, then Playwright dashboard journeys against the live site</w:t>
      </w:r>
    </w:p>
    <w:p>
      <w:pPr>
        <w:shd w:fill="F2F4F8" w:val="clear"/>
        <w:spacing w:after="0"/>
      </w:pPr>
      <w:r>
        <w:rPr>
          <w:rFonts w:ascii="Consolas" w:cs="Consolas" w:eastAsia="Consolas" w:hAnsi="Consolas"/>
          <w:sz w:val="17"/>
          <w:szCs w:val="17"/>
        </w:rPr>
        <w:t xml:space="preserve"># deploy-prod.yml (read-only plan + approval) exists, unused by decision</w:t>
      </w:r>
    </w:p>
    <w:p>
      <w:pPr>
        <w:spacing w:after="120"/>
      </w:pPr>
    </w:p>
    <w:p>
      <w:pPr>
        <w:pStyle w:val="Heading2"/>
        <w:spacing w:after="120" w:before="280"/>
      </w:pPr>
      <w:r>
        <w:rPr>
          <w:color w:val="1F6FEB"/>
        </w:rPr>
        <w:t xml:space="preserve">2.3 Pipeline rules</w:t>
      </w:r>
    </w:p>
    <w:p>
      <w:pPr>
        <w:pStyle w:val="ListParagraph"/>
        <w:numPr>
          <w:ilvl w:val="0"/>
          <w:numId w:val="2"/>
        </w:numPr>
        <w:spacing w:after="60" w:line="264"/>
      </w:pPr>
      <w:r>
        <w:t xml:space="preserve">Migrations are additive-only; a destructive change ships as its own later migration, never with the code that needs it.</w:t>
      </w:r>
    </w:p>
    <w:p>
      <w:pPr>
        <w:pStyle w:val="ListParagraph"/>
        <w:numPr>
          <w:ilvl w:val="0"/>
          <w:numId w:val="2"/>
        </w:numPr>
        <w:spacing w:after="60" w:line="264"/>
      </w:pPr>
      <w:r>
        <w:t xml:space="preserve">The OpenAPI document is generated from the Pydantic models and is binding; the Angular client is regenerated from it, and CI fails on drift or a breaking change.</w:t>
      </w:r>
    </w:p>
    <w:p>
      <w:pPr>
        <w:pStyle w:val="ListParagraph"/>
        <w:numPr>
          <w:ilvl w:val="0"/>
          <w:numId w:val="2"/>
        </w:numPr>
        <w:spacing w:after="60" w:line="264"/>
      </w:pPr>
      <w:r>
        <w:t xml:space="preserve">Every pull request cites a task ID, and every task traces to a spec requirement.</w:t>
      </w:r>
    </w:p>
    <w:p>
      <w:pPr>
        <w:pStyle w:val="ListParagraph"/>
        <w:numPr>
          <w:ilvl w:val="0"/>
          <w:numId w:val="2"/>
        </w:numPr>
        <w:spacing w:after="60" w:line="264"/>
      </w:pPr>
      <w:r>
        <w:t xml:space="preserve">Prompts and agent definitions change through the same pull-request flow; their content hash is recorded on every run, and the eval suite gates them.</w:t>
      </w:r>
    </w:p>
    <w:p>
      <w:pPr>
        <w:pStyle w:val="Heading1"/>
        <w:spacing w:after="160" w:before="360"/>
      </w:pPr>
      <w:r>
        <w:rPr>
          <w:color w:val="16213E"/>
        </w:rPr>
        <w:t xml:space="preserve">3. Deployment &amp;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rPr>
          <w:tblHeader/>
        </w:trPr>
        <w:tc>
          <w:tcPr>
            <w:tcW w:type="dxa" w:w="1560"/>
            <w:shd w:fill="16213E" w:val="clear"/>
            <w:tcMar>
              <w:top w:type="dxa" w:w="60"/>
              <w:left w:type="dxa" w:w="100"/>
              <w:bottom w:type="dxa" w:w="60"/>
              <w:right w:type="dxa" w:w="100"/>
            </w:tcMar>
          </w:tcPr>
          <w:p>
            <w:pPr>
              <w:spacing w:after="0"/>
            </w:pPr>
            <w:r>
              <w:rPr>
                <w:b/>
                <w:bCs/>
                <w:color w:val="FFFFFF"/>
                <w:sz w:val="19"/>
                <w:szCs w:val="19"/>
              </w:rPr>
              <w:t xml:space="preserve">Aspect</w:t>
            </w:r>
          </w:p>
        </w:tc>
        <w:tc>
          <w:tcPr>
            <w:tcW w:type="dxa" w:w="3600"/>
            <w:shd w:fill="16213E" w:val="clear"/>
            <w:tcMar>
              <w:top w:type="dxa" w:w="60"/>
              <w:left w:type="dxa" w:w="100"/>
              <w:bottom w:type="dxa" w:w="60"/>
              <w:right w:type="dxa" w:w="100"/>
            </w:tcMar>
          </w:tcPr>
          <w:p>
            <w:pPr>
              <w:spacing w:after="0"/>
            </w:pPr>
            <w:r>
              <w:rPr>
                <w:b/>
                <w:bCs/>
                <w:color w:val="FFFFFF"/>
                <w:sz w:val="19"/>
                <w:szCs w:val="19"/>
              </w:rPr>
              <w:t xml:space="preserve">dev — the one environment</w:t>
            </w:r>
          </w:p>
        </w:tc>
        <w:tc>
          <w:tcPr>
            <w:tcW w:type="dxa" w:w="4200"/>
            <w:shd w:fill="16213E" w:val="clear"/>
            <w:tcMar>
              <w:top w:type="dxa" w:w="60"/>
              <w:left w:type="dxa" w:w="100"/>
              <w:bottom w:type="dxa" w:w="60"/>
              <w:right w:type="dxa" w:w="100"/>
            </w:tcMar>
          </w:tcPr>
          <w:p>
            <w:pPr>
              <w:spacing w:after="0"/>
            </w:pPr>
            <w:r>
              <w:rPr>
                <w:b/>
                <w:bCs/>
                <w:color w:val="FFFFFF"/>
                <w:sz w:val="19"/>
                <w:szCs w:val="19"/>
              </w:rPr>
              <w:t xml:space="preserve">prod root module</w:t>
            </w:r>
          </w:p>
        </w:tc>
      </w:tr>
      <w:tr>
        <w:tc>
          <w:tcPr>
            <w:tcW w:type="dxa" w:w="1560"/>
            <w:tcMar>
              <w:top w:type="dxa" w:w="60"/>
              <w:left w:type="dxa" w:w="100"/>
              <w:bottom w:type="dxa" w:w="60"/>
              <w:right w:type="dxa" w:w="100"/>
            </w:tcMar>
          </w:tcPr>
          <w:p>
            <w:pPr>
              <w:spacing w:after="0"/>
            </w:pPr>
            <w:r>
              <w:rPr>
                <w:sz w:val="19"/>
                <w:szCs w:val="19"/>
              </w:rPr>
              <w:t xml:space="preserve">AWS account</w:t>
            </w:r>
          </w:p>
        </w:tc>
        <w:tc>
          <w:tcPr>
            <w:tcW w:type="dxa" w:w="3600"/>
            <w:tcMar>
              <w:top w:type="dxa" w:w="60"/>
              <w:left w:type="dxa" w:w="100"/>
              <w:bottom w:type="dxa" w:w="60"/>
              <w:right w:type="dxa" w:w="100"/>
            </w:tcMar>
          </w:tcPr>
          <w:p>
            <w:pPr>
              <w:spacing w:after="0"/>
            </w:pPr>
            <w:r>
              <w:rPr>
                <w:sz w:val="19"/>
                <w:szCs w:val="19"/>
              </w:rPr>
              <w:t xml:space="preserve">One account; CloudPulse scans it in same-account mode</w:t>
            </w:r>
          </w:p>
        </w:tc>
        <w:tc>
          <w:tcPr>
            <w:tcW w:type="dxa" w:w="4200"/>
            <w:tcMar>
              <w:top w:type="dxa" w:w="60"/>
              <w:left w:type="dxa" w:w="100"/>
              <w:bottom w:type="dxa" w:w="60"/>
              <w:right w:type="dxa" w:w="100"/>
            </w:tcMar>
          </w:tcPr>
          <w:p>
            <w:pPr>
              <w:spacing w:after="0"/>
            </w:pPr>
            <w:r>
              <w:rPr>
                <w:sz w:val="19"/>
                <w:szCs w:val="19"/>
              </w:rPr>
              <w:t xml:space="preserve">Not deployed</w:t>
            </w:r>
          </w:p>
        </w:tc>
      </w:tr>
      <w:tr>
        <w:tc>
          <w:tcPr>
            <w:tcW w:type="dxa" w:w="1560"/>
            <w:tcMar>
              <w:top w:type="dxa" w:w="60"/>
              <w:left w:type="dxa" w:w="100"/>
              <w:bottom w:type="dxa" w:w="60"/>
              <w:right w:type="dxa" w:w="100"/>
            </w:tcMar>
          </w:tcPr>
          <w:p>
            <w:pPr>
              <w:spacing w:after="0"/>
            </w:pPr>
            <w:r>
              <w:rPr>
                <w:sz w:val="19"/>
                <w:szCs w:val="19"/>
              </w:rPr>
              <w:t xml:space="preserve">Deploy trigger</w:t>
            </w:r>
          </w:p>
        </w:tc>
        <w:tc>
          <w:tcPr>
            <w:tcW w:type="dxa" w:w="3600"/>
            <w:tcMar>
              <w:top w:type="dxa" w:w="60"/>
              <w:left w:type="dxa" w:w="100"/>
              <w:bottom w:type="dxa" w:w="60"/>
              <w:right w:type="dxa" w:w="100"/>
            </w:tcMar>
          </w:tcPr>
          <w:p>
            <w:pPr>
              <w:spacing w:after="0"/>
            </w:pPr>
            <w:r>
              <w:rPr>
                <w:sz w:val="19"/>
                <w:szCs w:val="19"/>
              </w:rPr>
              <w:t xml:space="preserve">Manual dispatch; automatic deploy off</w:t>
            </w:r>
          </w:p>
        </w:tc>
        <w:tc>
          <w:tcPr>
            <w:tcW w:type="dxa" w:w="4200"/>
            <w:tcMar>
              <w:top w:type="dxa" w:w="60"/>
              <w:left w:type="dxa" w:w="100"/>
              <w:bottom w:type="dxa" w:w="60"/>
              <w:right w:type="dxa" w:w="100"/>
            </w:tcMar>
          </w:tcPr>
          <w:p>
            <w:pPr>
              <w:spacing w:after="0"/>
            </w:pPr>
            <w:r>
              <w:rPr>
                <w:sz w:val="19"/>
                <w:szCs w:val="19"/>
              </w:rPr>
              <w:t xml:space="preserve">Manual: plan, then approval (unused)</w:t>
            </w:r>
          </w:p>
        </w:tc>
      </w:tr>
      <w:tr>
        <w:tc>
          <w:tcPr>
            <w:tcW w:type="dxa" w:w="1560"/>
            <w:tcMar>
              <w:top w:type="dxa" w:w="60"/>
              <w:left w:type="dxa" w:w="100"/>
              <w:bottom w:type="dxa" w:w="60"/>
              <w:right w:type="dxa" w:w="100"/>
            </w:tcMar>
          </w:tcPr>
          <w:p>
            <w:pPr>
              <w:spacing w:after="0"/>
            </w:pPr>
            <w:r>
              <w:rPr>
                <w:sz w:val="19"/>
                <w:szCs w:val="19"/>
              </w:rPr>
              <w:t xml:space="preserve">Scanned accounts</w:t>
            </w:r>
          </w:p>
        </w:tc>
        <w:tc>
          <w:tcPr>
            <w:tcW w:type="dxa" w:w="3600"/>
            <w:tcMar>
              <w:top w:type="dxa" w:w="60"/>
              <w:left w:type="dxa" w:w="100"/>
              <w:bottom w:type="dxa" w:w="60"/>
              <w:right w:type="dxa" w:w="100"/>
            </w:tcMar>
          </w:tcPr>
          <w:p>
            <w:pPr>
              <w:spacing w:after="0"/>
            </w:pPr>
            <w:r>
              <w:rPr>
                <w:sz w:val="19"/>
                <w:szCs w:val="19"/>
              </w:rPr>
              <w:t xml:space="preserve">The same account; others through cross-account mode</w:t>
            </w:r>
          </w:p>
        </w:tc>
        <w:tc>
          <w:tcPr>
            <w:tcW w:type="dxa" w:w="4200"/>
            <w:tcMar>
              <w:top w:type="dxa" w:w="60"/>
              <w:left w:type="dxa" w:w="100"/>
              <w:bottom w:type="dxa" w:w="60"/>
              <w:right w:type="dxa" w:w="100"/>
            </w:tcMar>
          </w:tcPr>
          <w:p>
            <w:pPr>
              <w:spacing w:after="0"/>
            </w:pPr>
            <w:r>
              <w:rPr>
                <w:sz w:val="19"/>
                <w:szCs w:val="19"/>
              </w:rPr>
              <w:t xml:space="preserve">—</w:t>
            </w:r>
          </w:p>
        </w:tc>
      </w:tr>
      <w:tr>
        <w:tc>
          <w:tcPr>
            <w:tcW w:type="dxa" w:w="1560"/>
            <w:tcMar>
              <w:top w:type="dxa" w:w="60"/>
              <w:left w:type="dxa" w:w="100"/>
              <w:bottom w:type="dxa" w:w="60"/>
              <w:right w:type="dxa" w:w="100"/>
            </w:tcMar>
          </w:tcPr>
          <w:p>
            <w:pPr>
              <w:spacing w:after="0"/>
            </w:pPr>
            <w:r>
              <w:rPr>
                <w:sz w:val="19"/>
                <w:szCs w:val="19"/>
              </w:rPr>
              <w:t xml:space="preserve">Network egress</w:t>
            </w:r>
          </w:p>
        </w:tc>
        <w:tc>
          <w:tcPr>
            <w:tcW w:type="dxa" w:w="3600"/>
            <w:tcMar>
              <w:top w:type="dxa" w:w="60"/>
              <w:left w:type="dxa" w:w="100"/>
              <w:bottom w:type="dxa" w:w="60"/>
              <w:right w:type="dxa" w:w="100"/>
            </w:tcMar>
          </w:tcPr>
          <w:p>
            <w:pPr>
              <w:spacing w:after="0"/>
            </w:pPr>
            <w:r>
              <w:rPr>
                <w:sz w:val="19"/>
                <w:szCs w:val="19"/>
              </w:rPr>
              <w:t xml:space="preserve">Opt-in NAT gateway per deploy (enable_egress)</w:t>
            </w:r>
          </w:p>
        </w:tc>
        <w:tc>
          <w:tcPr>
            <w:tcW w:type="dxa" w:w="4200"/>
            <w:tcMar>
              <w:top w:type="dxa" w:w="60"/>
              <w:left w:type="dxa" w:w="100"/>
              <w:bottom w:type="dxa" w:w="60"/>
              <w:right w:type="dxa" w:w="100"/>
            </w:tcMar>
          </w:tcPr>
          <w:p>
            <w:pPr>
              <w:spacing w:after="0"/>
            </w:pPr>
            <w:r>
              <w:rPr>
                <w:sz w:val="19"/>
                <w:szCs w:val="19"/>
              </w:rPr>
              <w:t xml:space="preserve">—</w:t>
            </w:r>
          </w:p>
        </w:tc>
      </w:tr>
      <w:tr>
        <w:tc>
          <w:tcPr>
            <w:tcW w:type="dxa" w:w="1560"/>
            <w:tcMar>
              <w:top w:type="dxa" w:w="60"/>
              <w:left w:type="dxa" w:w="100"/>
              <w:bottom w:type="dxa" w:w="60"/>
              <w:right w:type="dxa" w:w="100"/>
            </w:tcMar>
          </w:tcPr>
          <w:p>
            <w:pPr>
              <w:spacing w:after="0"/>
            </w:pPr>
            <w:r>
              <w:rPr>
                <w:sz w:val="19"/>
                <w:szCs w:val="19"/>
              </w:rPr>
              <w:t xml:space="preserve">Data protection</w:t>
            </w:r>
          </w:p>
        </w:tc>
        <w:tc>
          <w:tcPr>
            <w:tcW w:type="dxa" w:w="3600"/>
            <w:tcMar>
              <w:top w:type="dxa" w:w="60"/>
              <w:left w:type="dxa" w:w="100"/>
              <w:bottom w:type="dxa" w:w="60"/>
              <w:right w:type="dxa" w:w="100"/>
            </w:tcMar>
          </w:tcPr>
          <w:p>
            <w:pPr>
              <w:spacing w:after="0"/>
            </w:pPr>
            <w:r>
              <w:rPr>
                <w:sz w:val="19"/>
                <w:szCs w:val="19"/>
              </w:rPr>
              <w:t xml:space="preserve">No deletion protection; the snapshots bucket force-destroys</w:t>
            </w:r>
          </w:p>
        </w:tc>
        <w:tc>
          <w:tcPr>
            <w:tcW w:type="dxa" w:w="4200"/>
            <w:tcMar>
              <w:top w:type="dxa" w:w="60"/>
              <w:left w:type="dxa" w:w="100"/>
              <w:bottom w:type="dxa" w:w="60"/>
              <w:right w:type="dxa" w:w="100"/>
            </w:tcMar>
          </w:tcPr>
          <w:p>
            <w:pPr>
              <w:spacing w:after="0"/>
            </w:pPr>
            <w:r>
              <w:rPr>
                <w:sz w:val="19"/>
                <w:szCs w:val="19"/>
              </w:rPr>
              <w:t xml:space="preserve">Deletion protection; 7-day backups</w:t>
            </w:r>
          </w:p>
        </w:tc>
      </w:tr>
      <w:tr>
        <w:tc>
          <w:tcPr>
            <w:tcW w:type="dxa" w:w="1560"/>
            <w:tcMar>
              <w:top w:type="dxa" w:w="60"/>
              <w:left w:type="dxa" w:w="100"/>
              <w:bottom w:type="dxa" w:w="60"/>
              <w:right w:type="dxa" w:w="100"/>
            </w:tcMar>
          </w:tcPr>
          <w:p>
            <w:pPr>
              <w:spacing w:after="0"/>
            </w:pPr>
            <w:r>
              <w:rPr>
                <w:sz w:val="19"/>
                <w:szCs w:val="19"/>
              </w:rPr>
              <w:t xml:space="preserve">Lifetime</w:t>
            </w:r>
          </w:p>
        </w:tc>
        <w:tc>
          <w:tcPr>
            <w:tcW w:type="dxa" w:w="3600"/>
            <w:tcMar>
              <w:top w:type="dxa" w:w="60"/>
              <w:left w:type="dxa" w:w="100"/>
              <w:bottom w:type="dxa" w:w="60"/>
              <w:right w:type="dxa" w:w="100"/>
            </w:tcMar>
          </w:tcPr>
          <w:p>
            <w:pPr>
              <w:spacing w:after="0"/>
            </w:pPr>
            <w:r>
              <w:rPr>
                <w:sz w:val="19"/>
                <w:szCs w:val="19"/>
              </w:rPr>
              <w:t xml:space="preserve">Deployed for a working session, then torn down</w:t>
            </w:r>
          </w:p>
        </w:tc>
        <w:tc>
          <w:tcPr>
            <w:tcW w:type="dxa" w:w="4200"/>
            <w:tcMar>
              <w:top w:type="dxa" w:w="60"/>
              <w:left w:type="dxa" w:w="100"/>
              <w:bottom w:type="dxa" w:w="60"/>
              <w:right w:type="dxa" w:w="100"/>
            </w:tcMar>
          </w:tcPr>
          <w:p>
            <w:pPr>
              <w:spacing w:after="0"/>
            </w:pPr>
            <w:r>
              <w:rPr>
                <w:sz w:val="19"/>
                <w:szCs w:val="19"/>
              </w:rPr>
              <w:t xml:space="preserve">—</w:t>
            </w:r>
          </w:p>
        </w:tc>
      </w:tr>
    </w:tbl>
    <w:p>
      <w:pPr>
        <w:pStyle w:val="Heading2"/>
        <w:spacing w:after="120" w:before="280"/>
      </w:pPr>
      <w:r>
        <w:rPr>
          <w:color w:val="1F6FEB"/>
        </w:rPr>
        <w:t xml:space="preserve">3.1 Rollback and teardown playbook</w:t>
      </w:r>
    </w:p>
    <w:p>
      <w:pPr>
        <w:pStyle w:val="ListParagraph"/>
        <w:numPr>
          <w:ilvl w:val="0"/>
          <w:numId w:val="2"/>
        </w:numPr>
        <w:spacing w:after="60" w:line="264"/>
      </w:pPr>
      <w:r>
        <w:rPr>
          <w:b/>
          <w:bCs/>
        </w:rPr>
        <w:t xml:space="preserve">Bad code:</w:t>
      </w:r>
      <w:r>
        <w:t xml:space="preserve"> redeploy the previous good commit with Deploy dev.</w:t>
      </w:r>
    </w:p>
    <w:p>
      <w:pPr>
        <w:pStyle w:val="ListParagraph"/>
        <w:numPr>
          <w:ilvl w:val="0"/>
          <w:numId w:val="2"/>
        </w:numPr>
        <w:spacing w:after="60" w:line="264"/>
      </w:pPr>
      <w:r>
        <w:rPr>
          <w:b/>
          <w:bCs/>
        </w:rPr>
        <w:t xml:space="preserve">Bad infrastructure change:</w:t>
      </w:r>
      <w:r>
        <w:t xml:space="preserve"> revert the commit and redeploy; Terraform state is versioned in S3 behind a DynamoDB lock.</w:t>
      </w:r>
    </w:p>
    <w:p>
      <w:pPr>
        <w:pStyle w:val="ListParagraph"/>
        <w:numPr>
          <w:ilvl w:val="0"/>
          <w:numId w:val="2"/>
        </w:numPr>
        <w:spacing w:after="60" w:line="264"/>
      </w:pPr>
      <w:r>
        <w:rPr>
          <w:b/>
          <w:bCs/>
        </w:rPr>
        <w:t xml:space="preserve">Bad migration:</w:t>
      </w:r>
      <w:r>
        <w:t xml:space="preserve"> migrations are additive, so the previous code still runs on the new schema; fix forward.</w:t>
      </w:r>
    </w:p>
    <w:p>
      <w:pPr>
        <w:pStyle w:val="ListParagraph"/>
        <w:numPr>
          <w:ilvl w:val="0"/>
          <w:numId w:val="2"/>
        </w:numPr>
        <w:spacing w:after="60" w:line="264"/>
      </w:pPr>
      <w:r>
        <w:rPr>
          <w:b/>
          <w:bCs/>
        </w:rPr>
        <w:t xml:space="preserve">End of session:</w:t>
      </w:r>
      <w:r>
        <w:t xml:space="preserve"> ops/teardown.sh dev, then the playbook §0.5.3 sweep against a pre-deploy baseline — NAT gateways, Elastic IPs, network interfaces, log groups — until only the two state buckets remain.</w:t>
      </w:r>
    </w:p>
    <w:p>
      <w:pPr>
        <w:pStyle w:val="ListParagraph"/>
        <w:numPr>
          <w:ilvl w:val="0"/>
          <w:numId w:val="2"/>
        </w:numPr>
        <w:spacing w:after="60" w:line="264"/>
      </w:pPr>
      <w:r>
        <w:rPr>
          <w:b/>
          <w:bCs/>
        </w:rPr>
        <w:t xml:space="preserve">Prod safety:</w:t>
      </w:r>
      <w:r>
        <w:t xml:space="preserve"> the teardown script refuses prod before running anything, and prod's Aurora has deletion protection.</w:t>
      </w:r>
    </w:p>
    <w:p>
      <w:pPr>
        <w:pStyle w:val="Heading2"/>
        <w:spacing w:after="120" w:before="280"/>
      </w:pPr>
      <w:r>
        <w:rPr>
          <w:color w:val="1F6FEB"/>
        </w:rPr>
        <w:t xml:space="preserve">3.2 Cost guardrails for the platform itself</w:t>
      </w:r>
    </w:p>
    <w:p>
      <w:pPr>
        <w:pStyle w:val="ListParagraph"/>
        <w:numPr>
          <w:ilvl w:val="0"/>
          <w:numId w:val="2"/>
        </w:numPr>
        <w:spacing w:after="60" w:line="264"/>
      </w:pPr>
      <w:r>
        <w:t xml:space="preserve">Dev costs roughly $0.15–0.30 an hour while deployed (Aurora at 0.5–2 ACU, VPC endpoints, the optional NAT) and nothing once torn down.</w:t>
      </w:r>
    </w:p>
    <w:p>
      <w:pPr>
        <w:pStyle w:val="ListParagraph"/>
        <w:numPr>
          <w:ilvl w:val="0"/>
          <w:numId w:val="2"/>
        </w:numPr>
        <w:spacing w:after="60" w:line="264"/>
      </w:pPr>
      <w:r>
        <w:t xml:space="preserve">Model calls are bounded by a per-run token cap; Cost Explorer costs $0.01 per call and runs once a day.</w:t>
      </w:r>
    </w:p>
    <w:p>
      <w:r>
        <w:br w:type="page"/>
      </w:r>
    </w:p>
    <w:p>
      <w:pPr>
        <w:pStyle w:val="Heading1"/>
        <w:spacing w:after="160" w:before="360"/>
      </w:pPr>
      <w:r>
        <w:rPr>
          <w:color w:val="16213E"/>
        </w:rPr>
        <w:t xml:space="preserve">4. Plug-and-Play Cloud Connector Framework</w:t>
      </w:r>
    </w:p>
    <w:p>
      <w:pPr>
        <w:spacing w:after="120" w:line="276"/>
      </w:pPr>
      <w:r>
        <w:t xml:space="preserve">Every provider implements one protocol and returns the same normalized model. Scan orchestration, the rules engine, the findings pipeline, the UI and notifications never know which cloud they are looking at. AWS is the only implementation today; the interface keeps Azure a later addition rather than a rewrite.</w:t>
      </w:r>
    </w:p>
    <w:p>
      <w:pPr>
        <w:pStyle w:val="Heading2"/>
        <w:spacing w:after="120" w:before="280"/>
      </w:pPr>
      <w:r>
        <w:rPr>
          <w:color w:val="1F6FEB"/>
        </w:rPr>
        <w:t xml:space="preserve">4.1 The contract (backend/connectors/base.py)</w:t>
      </w:r>
    </w:p>
    <w:p>
      <w:pPr>
        <w:shd w:fill="F2F4F8" w:val="clear"/>
        <w:spacing w:after="0"/>
      </w:pPr>
      <w:r>
        <w:rPr>
          <w:rFonts w:ascii="Consolas" w:cs="Consolas" w:eastAsia="Consolas" w:hAnsi="Consolas"/>
          <w:sz w:val="17"/>
          <w:szCs w:val="17"/>
        </w:rPr>
        <w:t xml:space="preserve">@dataclass(frozen=True)</w:t>
      </w:r>
    </w:p>
    <w:p>
      <w:pPr>
        <w:shd w:fill="F2F4F8" w:val="clear"/>
        <w:spacing w:after="0"/>
      </w:pPr>
      <w:r>
        <w:rPr>
          <w:rFonts w:ascii="Consolas" w:cs="Consolas" w:eastAsia="Consolas" w:hAnsi="Consolas"/>
          <w:sz w:val="17"/>
          <w:szCs w:val="17"/>
        </w:rPr>
        <w:t xml:space="preserve">class ConnectorAccount:</w:t>
      </w:r>
    </w:p>
    <w:p>
      <w:pPr>
        <w:shd w:fill="F2F4F8" w:val="clear"/>
        <w:spacing w:after="0"/>
      </w:pPr>
      <w:r>
        <w:rPr>
          <w:rFonts w:ascii="Consolas" w:cs="Consolas" w:eastAsia="Consolas" w:hAnsi="Consolas"/>
          <w:sz w:val="17"/>
          <w:szCs w:val="17"/>
        </w:rPr>
        <w:t xml:space="preserve">    aws_account_id: str</w:t>
      </w:r>
    </w:p>
    <w:p>
      <w:pPr>
        <w:shd w:fill="F2F4F8" w:val="clear"/>
        <w:spacing w:after="0"/>
      </w:pPr>
      <w:r>
        <w:rPr>
          <w:rFonts w:ascii="Consolas" w:cs="Consolas" w:eastAsia="Consolas" w:hAnsi="Consolas"/>
          <w:sz w:val="17"/>
          <w:szCs w:val="17"/>
        </w:rPr>
        <w:t xml:space="preserve">    connection_mode: str        # 'local' | 'assume_role'</w:t>
      </w:r>
    </w:p>
    <w:p>
      <w:pPr>
        <w:shd w:fill="F2F4F8" w:val="clear"/>
        <w:spacing w:after="0"/>
      </w:pPr>
      <w:r>
        <w:rPr>
          <w:rFonts w:ascii="Consolas" w:cs="Consolas" w:eastAsia="Consolas" w:hAnsi="Consolas"/>
          <w:sz w:val="17"/>
          <w:szCs w:val="17"/>
        </w:rPr>
        <w:t xml:space="preserve">    role_arn: str | None = None</w:t>
      </w:r>
    </w:p>
    <w:p>
      <w:pPr>
        <w:shd w:fill="F2F4F8" w:val="clear"/>
        <w:spacing w:after="0"/>
      </w:pPr>
      <w:r>
        <w:rPr>
          <w:rFonts w:ascii="Consolas" w:cs="Consolas" w:eastAsia="Consolas" w:hAnsi="Consolas"/>
          <w:sz w:val="17"/>
          <w:szCs w:val="17"/>
        </w:rPr>
        <w:t xml:space="preserve">    external_id: str | None = None   # read fresh per worker, never stored in code</w:t>
      </w:r>
    </w:p>
    <w:p>
      <w:pPr>
        <w:shd w:fill="F2F4F8" w:val="clear"/>
        <w:spacing w:after="0"/>
      </w:pPr>
      <w:r>
        <w:rPr>
          <w:rFonts w:ascii="Consolas" w:cs="Consolas" w:eastAsia="Consolas" w:hAnsi="Consolas"/>
          <w:sz w:val="17"/>
          <w:szCs w:val="17"/>
        </w:rPr>
        <w:t xml:space="preserve"> </w:t>
      </w:r>
    </w:p>
    <w:p>
      <w:pPr>
        <w:shd w:fill="F2F4F8" w:val="clear"/>
        <w:spacing w:after="0"/>
      </w:pPr>
      <w:r>
        <w:rPr>
          <w:rFonts w:ascii="Consolas" w:cs="Consolas" w:eastAsia="Consolas" w:hAnsi="Consolas"/>
          <w:sz w:val="17"/>
          <w:szCs w:val="17"/>
        </w:rPr>
        <w:t xml:space="preserve">@dataclass(frozen=True)</w:t>
      </w:r>
    </w:p>
    <w:p>
      <w:pPr>
        <w:shd w:fill="F2F4F8" w:val="clear"/>
        <w:spacing w:after="0"/>
      </w:pPr>
      <w:r>
        <w:rPr>
          <w:rFonts w:ascii="Consolas" w:cs="Consolas" w:eastAsia="Consolas" w:hAnsi="Consolas"/>
          <w:sz w:val="17"/>
          <w:szCs w:val="17"/>
        </w:rPr>
        <w:t xml:space="preserve">class NormalizedResource:</w:t>
      </w:r>
    </w:p>
    <w:p>
      <w:pPr>
        <w:shd w:fill="F2F4F8" w:val="clear"/>
        <w:spacing w:after="0"/>
      </w:pPr>
      <w:r>
        <w:rPr>
          <w:rFonts w:ascii="Consolas" w:cs="Consolas" w:eastAsia="Consolas" w:hAnsi="Consolas"/>
          <w:sz w:val="17"/>
          <w:szCs w:val="17"/>
        </w:rPr>
        <w:t xml:space="preserve">    provider: str               # 'aws'</w:t>
      </w:r>
    </w:p>
    <w:p>
      <w:pPr>
        <w:shd w:fill="F2F4F8" w:val="clear"/>
        <w:spacing w:after="0"/>
      </w:pPr>
      <w:r>
        <w:rPr>
          <w:rFonts w:ascii="Consolas" w:cs="Consolas" w:eastAsia="Consolas" w:hAnsi="Consolas"/>
          <w:sz w:val="17"/>
          <w:szCs w:val="17"/>
        </w:rPr>
        <w:t xml:space="preserve">    account_id: str</w:t>
      </w:r>
    </w:p>
    <w:p>
      <w:pPr>
        <w:shd w:fill="F2F4F8" w:val="clear"/>
        <w:spacing w:after="0"/>
      </w:pPr>
      <w:r>
        <w:rPr>
          <w:rFonts w:ascii="Consolas" w:cs="Consolas" w:eastAsia="Consolas" w:hAnsi="Consolas"/>
          <w:sz w:val="17"/>
          <w:szCs w:val="17"/>
        </w:rPr>
        <w:t xml:space="preserve">    resource_id: str            # provider-native id (an ARN on AWS)</w:t>
      </w:r>
    </w:p>
    <w:p>
      <w:pPr>
        <w:shd w:fill="F2F4F8" w:val="clear"/>
        <w:spacing w:after="0"/>
      </w:pPr>
      <w:r>
        <w:rPr>
          <w:rFonts w:ascii="Consolas" w:cs="Consolas" w:eastAsia="Consolas" w:hAnsi="Consolas"/>
          <w:sz w:val="17"/>
          <w:szCs w:val="17"/>
        </w:rPr>
        <w:t xml:space="preserve">    service: str</w:t>
      </w:r>
    </w:p>
    <w:p>
      <w:pPr>
        <w:shd w:fill="F2F4F8" w:val="clear"/>
        <w:spacing w:after="0"/>
      </w:pPr>
      <w:r>
        <w:rPr>
          <w:rFonts w:ascii="Consolas" w:cs="Consolas" w:eastAsia="Consolas" w:hAnsi="Consolas"/>
          <w:sz w:val="17"/>
          <w:szCs w:val="17"/>
        </w:rPr>
        <w:t xml:space="preserve">    resource_type: str          # e.g. 'AWS::EC2::Instance'</w:t>
      </w:r>
    </w:p>
    <w:p>
      <w:pPr>
        <w:shd w:fill="F2F4F8" w:val="clear"/>
        <w:spacing w:after="0"/>
      </w:pPr>
      <w:r>
        <w:rPr>
          <w:rFonts w:ascii="Consolas" w:cs="Consolas" w:eastAsia="Consolas" w:hAnsi="Consolas"/>
          <w:sz w:val="17"/>
          <w:szCs w:val="17"/>
        </w:rPr>
        <w:t xml:space="preserve">    region: str</w:t>
      </w:r>
    </w:p>
    <w:p>
      <w:pPr>
        <w:shd w:fill="F2F4F8" w:val="clear"/>
        <w:spacing w:after="0"/>
      </w:pPr>
      <w:r>
        <w:rPr>
          <w:rFonts w:ascii="Consolas" w:cs="Consolas" w:eastAsia="Consolas" w:hAnsi="Consolas"/>
          <w:sz w:val="17"/>
          <w:szCs w:val="17"/>
        </w:rPr>
        <w:t xml:space="preserve">    name: str | None</w:t>
      </w:r>
    </w:p>
    <w:p>
      <w:pPr>
        <w:shd w:fill="F2F4F8" w:val="clear"/>
        <w:spacing w:after="0"/>
      </w:pPr>
      <w:r>
        <w:rPr>
          <w:rFonts w:ascii="Consolas" w:cs="Consolas" w:eastAsia="Consolas" w:hAnsi="Consolas"/>
          <w:sz w:val="17"/>
          <w:szCs w:val="17"/>
        </w:rPr>
        <w:t xml:space="preserve">    tags: dict[str, str]</w:t>
      </w:r>
    </w:p>
    <w:p>
      <w:pPr>
        <w:shd w:fill="F2F4F8" w:val="clear"/>
        <w:spacing w:after="0"/>
      </w:pPr>
      <w:r>
        <w:rPr>
          <w:rFonts w:ascii="Consolas" w:cs="Consolas" w:eastAsia="Consolas" w:hAnsi="Consolas"/>
          <w:sz w:val="17"/>
          <w:szCs w:val="17"/>
        </w:rPr>
        <w:t xml:space="preserve">    state: str | None</w:t>
      </w:r>
    </w:p>
    <w:p>
      <w:pPr>
        <w:shd w:fill="F2F4F8" w:val="clear"/>
        <w:spacing w:after="0"/>
      </w:pPr>
      <w:r>
        <w:rPr>
          <w:rFonts w:ascii="Consolas" w:cs="Consolas" w:eastAsia="Consolas" w:hAnsi="Consolas"/>
          <w:sz w:val="17"/>
          <w:szCs w:val="17"/>
        </w:rPr>
        <w:t xml:space="preserve">    created_at: datetime | None</w:t>
      </w:r>
    </w:p>
    <w:p>
      <w:pPr>
        <w:shd w:fill="F2F4F8" w:val="clear"/>
        <w:spacing w:after="0"/>
      </w:pPr>
      <w:r>
        <w:rPr>
          <w:rFonts w:ascii="Consolas" w:cs="Consolas" w:eastAsia="Consolas" w:hAnsi="Consolas"/>
          <w:sz w:val="17"/>
          <w:szCs w:val="17"/>
        </w:rPr>
        <w:t xml:space="preserve">    detail: dict[str, Any]      # enrichment, or {'enrichment_error': &lt;code&gt;}</w:t>
      </w:r>
    </w:p>
    <w:p>
      <w:pPr>
        <w:shd w:fill="F2F4F8" w:val="clear"/>
        <w:spacing w:after="0"/>
      </w:pPr>
      <w:r>
        <w:rPr>
          <w:rFonts w:ascii="Consolas" w:cs="Consolas" w:eastAsia="Consolas" w:hAnsi="Consolas"/>
          <w:sz w:val="17"/>
          <w:szCs w:val="17"/>
        </w:rPr>
        <w:t xml:space="preserve"> </w:t>
      </w:r>
    </w:p>
    <w:p>
      <w:pPr>
        <w:shd w:fill="F2F4F8" w:val="clear"/>
        <w:spacing w:after="0"/>
      </w:pPr>
      <w:r>
        <w:rPr>
          <w:rFonts w:ascii="Consolas" w:cs="Consolas" w:eastAsia="Consolas" w:hAnsi="Consolas"/>
          <w:sz w:val="17"/>
          <w:szCs w:val="17"/>
        </w:rPr>
        <w:t xml:space="preserve">class Connector(Protocol):</w:t>
      </w:r>
    </w:p>
    <w:p>
      <w:pPr>
        <w:shd w:fill="F2F4F8" w:val="clear"/>
        <w:spacing w:after="0"/>
      </w:pPr>
      <w:r>
        <w:rPr>
          <w:rFonts w:ascii="Consolas" w:cs="Consolas" w:eastAsia="Consolas" w:hAnsi="Consolas"/>
          <w:sz w:val="17"/>
          <w:szCs w:val="17"/>
        </w:rPr>
        <w:t xml:space="preserve">    def discover(self, account: ConnectorAccount, region: str)</w:t>
      </w:r>
    </w:p>
    <w:p>
      <w:pPr>
        <w:shd w:fill="F2F4F8" w:val="clear"/>
        <w:spacing w:after="0"/>
      </w:pPr>
      <w:r>
        <w:rPr>
          <w:rFonts w:ascii="Consolas" w:cs="Consolas" w:eastAsia="Consolas" w:hAnsi="Consolas"/>
          <w:sz w:val="17"/>
          <w:szCs w:val="17"/>
        </w:rPr>
        <w:t xml:space="preserve">        -&gt; Iterable[NormalizedResource]: ...</w:t>
      </w:r>
    </w:p>
    <w:p>
      <w:pPr>
        <w:shd w:fill="F2F4F8" w:val="clear"/>
        <w:spacing w:after="0"/>
      </w:pPr>
      <w:r>
        <w:rPr>
          <w:rFonts w:ascii="Consolas" w:cs="Consolas" w:eastAsia="Consolas" w:hAnsi="Consolas"/>
          <w:sz w:val="17"/>
          <w:szCs w:val="17"/>
        </w:rPr>
        <w:t xml:space="preserve">    def enrich(self, resource: NormalizedResource) -&gt; NormalizedResource: ...</w:t>
      </w:r>
    </w:p>
    <w:p>
      <w:pPr>
        <w:spacing w:after="120"/>
      </w:pPr>
    </w:p>
    <w:p>
      <w:pPr>
        <w:pStyle w:val="Heading2"/>
        <w:spacing w:after="120" w:before="280"/>
      </w:pPr>
      <w:r>
        <w:rPr>
          <w:color w:val="1F6FEB"/>
        </w:rPr>
        <w:t xml:space="preserve">4.2 Provider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16213E" w:val="clear"/>
            <w:tcMar>
              <w:top w:type="dxa" w:w="60"/>
              <w:left w:type="dxa" w:w="100"/>
              <w:bottom w:type="dxa" w:w="60"/>
              <w:right w:type="dxa" w:w="100"/>
            </w:tcMar>
          </w:tcPr>
          <w:p>
            <w:pPr>
              <w:spacing w:after="0"/>
            </w:pPr>
            <w:r>
              <w:rPr>
                <w:b/>
                <w:bCs/>
                <w:color w:val="FFFFFF"/>
                <w:sz w:val="19"/>
                <w:szCs w:val="19"/>
              </w:rPr>
              <w:t xml:space="preserve">Capability</w:t>
            </w:r>
          </w:p>
        </w:tc>
        <w:tc>
          <w:tcPr>
            <w:tcW w:type="dxa" w:w="3700"/>
            <w:shd w:fill="16213E" w:val="clear"/>
            <w:tcMar>
              <w:top w:type="dxa" w:w="60"/>
              <w:left w:type="dxa" w:w="100"/>
              <w:bottom w:type="dxa" w:w="60"/>
              <w:right w:type="dxa" w:w="100"/>
            </w:tcMar>
          </w:tcPr>
          <w:p>
            <w:pPr>
              <w:spacing w:after="0"/>
            </w:pPr>
            <w:r>
              <w:rPr>
                <w:b/>
                <w:bCs/>
                <w:color w:val="FFFFFF"/>
                <w:sz w:val="19"/>
                <w:szCs w:val="19"/>
              </w:rPr>
              <w:t xml:space="preserve">AWS (built)</w:t>
            </w:r>
          </w:p>
        </w:tc>
        <w:tc>
          <w:tcPr>
            <w:tcW w:type="dxa" w:w="3760"/>
            <w:shd w:fill="16213E" w:val="clear"/>
            <w:tcMar>
              <w:top w:type="dxa" w:w="60"/>
              <w:left w:type="dxa" w:w="100"/>
              <w:bottom w:type="dxa" w:w="60"/>
              <w:right w:type="dxa" w:w="100"/>
            </w:tcMar>
          </w:tcPr>
          <w:p>
            <w:pPr>
              <w:spacing w:after="0"/>
            </w:pPr>
            <w:r>
              <w:rPr>
                <w:b/>
                <w:bCs/>
                <w:color w:val="FFFFFF"/>
                <w:sz w:val="19"/>
                <w:szCs w:val="19"/>
              </w:rPr>
              <w:t xml:space="preserve">Azure (future)</w:t>
            </w:r>
          </w:p>
        </w:tc>
      </w:tr>
      <w:tr>
        <w:tc>
          <w:tcPr>
            <w:tcW w:type="dxa" w:w="1900"/>
            <w:tcMar>
              <w:top w:type="dxa" w:w="60"/>
              <w:left w:type="dxa" w:w="100"/>
              <w:bottom w:type="dxa" w:w="60"/>
              <w:right w:type="dxa" w:w="100"/>
            </w:tcMar>
          </w:tcPr>
          <w:p>
            <w:pPr>
              <w:spacing w:after="0"/>
            </w:pPr>
            <w:r>
              <w:rPr>
                <w:sz w:val="19"/>
                <w:szCs w:val="19"/>
              </w:rPr>
              <w:t xml:space="preserve">Auth</w:t>
            </w:r>
          </w:p>
        </w:tc>
        <w:tc>
          <w:tcPr>
            <w:tcW w:type="dxa" w:w="3700"/>
            <w:tcMar>
              <w:top w:type="dxa" w:w="60"/>
              <w:left w:type="dxa" w:w="100"/>
              <w:bottom w:type="dxa" w:w="60"/>
              <w:right w:type="dxa" w:w="100"/>
            </w:tcMar>
          </w:tcPr>
          <w:p>
            <w:pPr>
              <w:spacing w:after="0"/>
            </w:pPr>
            <w:r>
              <w:rPr>
                <w:sz w:val="19"/>
                <w:szCs w:val="19"/>
              </w:rPr>
              <w:t xml:space="preserve">Same-account own roles, or STS AssumeRole + ExternalId; access keys unsupported</w:t>
            </w:r>
          </w:p>
        </w:tc>
        <w:tc>
          <w:tcPr>
            <w:tcW w:type="dxa" w:w="3760"/>
            <w:tcMar>
              <w:top w:type="dxa" w:w="60"/>
              <w:left w:type="dxa" w:w="100"/>
              <w:bottom w:type="dxa" w:w="60"/>
              <w:right w:type="dxa" w:w="100"/>
            </w:tcMar>
          </w:tcPr>
          <w:p>
            <w:pPr>
              <w:spacing w:after="0"/>
            </w:pPr>
            <w:r>
              <w:rPr>
                <w:sz w:val="19"/>
                <w:szCs w:val="19"/>
              </w:rPr>
              <w:t xml:space="preserve">Entra workload identity, Reader role</w:t>
            </w:r>
          </w:p>
        </w:tc>
      </w:tr>
      <w:tr>
        <w:tc>
          <w:tcPr>
            <w:tcW w:type="dxa" w:w="1900"/>
            <w:tcMar>
              <w:top w:type="dxa" w:w="60"/>
              <w:left w:type="dxa" w:w="100"/>
              <w:bottom w:type="dxa" w:w="60"/>
              <w:right w:type="dxa" w:w="100"/>
            </w:tcMar>
          </w:tcPr>
          <w:p>
            <w:pPr>
              <w:spacing w:after="0"/>
            </w:pPr>
            <w:r>
              <w:rPr>
                <w:sz w:val="19"/>
                <w:szCs w:val="19"/>
              </w:rPr>
              <w:t xml:space="preserve">Sweep</w:t>
            </w:r>
          </w:p>
        </w:tc>
        <w:tc>
          <w:tcPr>
            <w:tcW w:type="dxa" w:w="3700"/>
            <w:tcMar>
              <w:top w:type="dxa" w:w="60"/>
              <w:left w:type="dxa" w:w="100"/>
              <w:bottom w:type="dxa" w:w="60"/>
              <w:right w:type="dxa" w:w="100"/>
            </w:tcMar>
          </w:tcPr>
          <w:p>
            <w:pPr>
              <w:spacing w:after="0"/>
            </w:pPr>
            <w:r>
              <w:rPr>
                <w:sz w:val="19"/>
                <w:szCs w:val="19"/>
              </w:rPr>
              <w:t xml:space="preserve">Resource Groups Tagging API + Cloud Control API</w:t>
            </w:r>
          </w:p>
        </w:tc>
        <w:tc>
          <w:tcPr>
            <w:tcW w:type="dxa" w:w="3760"/>
            <w:tcMar>
              <w:top w:type="dxa" w:w="60"/>
              <w:left w:type="dxa" w:w="100"/>
              <w:bottom w:type="dxa" w:w="60"/>
              <w:right w:type="dxa" w:w="100"/>
            </w:tcMar>
          </w:tcPr>
          <w:p>
            <w:pPr>
              <w:spacing w:after="0"/>
            </w:pPr>
            <w:r>
              <w:rPr>
                <w:sz w:val="19"/>
                <w:szCs w:val="19"/>
              </w:rPr>
              <w:t xml:space="preserve">Azure Resource Graph</w:t>
            </w:r>
          </w:p>
        </w:tc>
      </w:tr>
      <w:tr>
        <w:tc>
          <w:tcPr>
            <w:tcW w:type="dxa" w:w="1900"/>
            <w:tcMar>
              <w:top w:type="dxa" w:w="60"/>
              <w:left w:type="dxa" w:w="100"/>
              <w:bottom w:type="dxa" w:w="60"/>
              <w:right w:type="dxa" w:w="100"/>
            </w:tcMar>
          </w:tcPr>
          <w:p>
            <w:pPr>
              <w:spacing w:after="0"/>
            </w:pPr>
            <w:r>
              <w:rPr>
                <w:sz w:val="19"/>
                <w:szCs w:val="19"/>
              </w:rPr>
              <w:t xml:space="preserve">Enrichment</w:t>
            </w:r>
          </w:p>
        </w:tc>
        <w:tc>
          <w:tcPr>
            <w:tcW w:type="dxa" w:w="3700"/>
            <w:tcMar>
              <w:top w:type="dxa" w:w="60"/>
              <w:left w:type="dxa" w:w="100"/>
              <w:bottom w:type="dxa" w:w="60"/>
              <w:right w:type="dxa" w:w="100"/>
            </w:tcMar>
          </w:tcPr>
          <w:p>
            <w:pPr>
              <w:spacing w:after="0"/>
            </w:pPr>
            <w:r>
              <w:rPr>
                <w:sz w:val="19"/>
                <w:szCs w:val="19"/>
              </w:rPr>
              <w:t xml:space="preserve">10 per-type describes, chosen by coverage data</w:t>
            </w:r>
          </w:p>
        </w:tc>
        <w:tc>
          <w:tcPr>
            <w:tcW w:type="dxa" w:w="3760"/>
            <w:tcMar>
              <w:top w:type="dxa" w:w="60"/>
              <w:left w:type="dxa" w:w="100"/>
              <w:bottom w:type="dxa" w:w="60"/>
              <w:right w:type="dxa" w:w="100"/>
            </w:tcMar>
          </w:tcPr>
          <w:p>
            <w:pPr>
              <w:spacing w:after="0"/>
            </w:pPr>
            <w:r>
              <w:rPr>
                <w:sz w:val="19"/>
                <w:szCs w:val="19"/>
              </w:rPr>
              <w:t xml:space="preserve">Per-provider SDK calls</w:t>
            </w:r>
          </w:p>
        </w:tc>
      </w:tr>
      <w:tr>
        <w:tc>
          <w:tcPr>
            <w:tcW w:type="dxa" w:w="1900"/>
            <w:tcMar>
              <w:top w:type="dxa" w:w="60"/>
              <w:left w:type="dxa" w:w="100"/>
              <w:bottom w:type="dxa" w:w="60"/>
              <w:right w:type="dxa" w:w="100"/>
            </w:tcMar>
          </w:tcPr>
          <w:p>
            <w:pPr>
              <w:spacing w:after="0"/>
            </w:pPr>
            <w:r>
              <w:rPr>
                <w:sz w:val="19"/>
                <w:szCs w:val="19"/>
              </w:rPr>
              <w:t xml:space="preserve">Activity</w:t>
            </w:r>
          </w:p>
        </w:tc>
        <w:tc>
          <w:tcPr>
            <w:tcW w:type="dxa" w:w="3700"/>
            <w:tcMar>
              <w:top w:type="dxa" w:w="60"/>
              <w:left w:type="dxa" w:w="100"/>
              <w:bottom w:type="dxa" w:w="60"/>
              <w:right w:type="dxa" w:w="100"/>
            </w:tcMar>
          </w:tcPr>
          <w:p>
            <w:pPr>
              <w:spacing w:after="0"/>
            </w:pPr>
            <w:r>
              <w:rPr>
                <w:sz w:val="19"/>
                <w:szCs w:val="19"/>
              </w:rPr>
              <w:t xml:space="preserve">CloudTrail LookupEvents, write events only</w:t>
            </w:r>
          </w:p>
        </w:tc>
        <w:tc>
          <w:tcPr>
            <w:tcW w:type="dxa" w:w="3760"/>
            <w:tcMar>
              <w:top w:type="dxa" w:w="60"/>
              <w:left w:type="dxa" w:w="100"/>
              <w:bottom w:type="dxa" w:w="60"/>
              <w:right w:type="dxa" w:w="100"/>
            </w:tcMar>
          </w:tcPr>
          <w:p>
            <w:pPr>
              <w:spacing w:after="0"/>
            </w:pPr>
            <w:r>
              <w:rPr>
                <w:sz w:val="19"/>
                <w:szCs w:val="19"/>
              </w:rPr>
              <w:t xml:space="preserve">Azure Activity Log</w:t>
            </w:r>
          </w:p>
        </w:tc>
      </w:tr>
      <w:tr>
        <w:tc>
          <w:tcPr>
            <w:tcW w:type="dxa" w:w="1900"/>
            <w:tcMar>
              <w:top w:type="dxa" w:w="60"/>
              <w:left w:type="dxa" w:w="100"/>
              <w:bottom w:type="dxa" w:w="60"/>
              <w:right w:type="dxa" w:w="100"/>
            </w:tcMar>
          </w:tcPr>
          <w:p>
            <w:pPr>
              <w:spacing w:after="0"/>
            </w:pPr>
            <w:r>
              <w:rPr>
                <w:sz w:val="19"/>
                <w:szCs w:val="19"/>
              </w:rPr>
              <w:t xml:space="preserve">Cost</w:t>
            </w:r>
          </w:p>
        </w:tc>
        <w:tc>
          <w:tcPr>
            <w:tcW w:type="dxa" w:w="3700"/>
            <w:tcMar>
              <w:top w:type="dxa" w:w="60"/>
              <w:left w:type="dxa" w:w="100"/>
              <w:bottom w:type="dxa" w:w="60"/>
              <w:right w:type="dxa" w:w="100"/>
            </w:tcMar>
          </w:tcPr>
          <w:p>
            <w:pPr>
              <w:spacing w:after="0"/>
            </w:pPr>
            <w:r>
              <w:rPr>
                <w:sz w:val="19"/>
                <w:szCs w:val="19"/>
              </w:rPr>
              <w:t xml:space="preserve">Cost Explorer</w:t>
            </w:r>
          </w:p>
        </w:tc>
        <w:tc>
          <w:tcPr>
            <w:tcW w:type="dxa" w:w="3760"/>
            <w:tcMar>
              <w:top w:type="dxa" w:w="60"/>
              <w:left w:type="dxa" w:w="100"/>
              <w:bottom w:type="dxa" w:w="60"/>
              <w:right w:type="dxa" w:w="100"/>
            </w:tcMar>
          </w:tcPr>
          <w:p>
            <w:pPr>
              <w:spacing w:after="0"/>
            </w:pPr>
            <w:r>
              <w:rPr>
                <w:sz w:val="19"/>
                <w:szCs w:val="19"/>
              </w:rPr>
              <w:t xml:space="preserve">Cost Management API</w:t>
            </w:r>
          </w:p>
        </w:tc>
      </w:tr>
      <w:tr>
        <w:tc>
          <w:tcPr>
            <w:tcW w:type="dxa" w:w="1900"/>
            <w:tcMar>
              <w:top w:type="dxa" w:w="60"/>
              <w:left w:type="dxa" w:w="100"/>
              <w:bottom w:type="dxa" w:w="60"/>
              <w:right w:type="dxa" w:w="100"/>
            </w:tcMar>
          </w:tcPr>
          <w:p>
            <w:pPr>
              <w:spacing w:after="0"/>
            </w:pPr>
            <w:r>
              <w:rPr>
                <w:sz w:val="19"/>
                <w:szCs w:val="19"/>
              </w:rPr>
              <w:t xml:space="preserve">Tag write</w:t>
            </w:r>
          </w:p>
        </w:tc>
        <w:tc>
          <w:tcPr>
            <w:tcW w:type="dxa" w:w="3700"/>
            <w:tcMar>
              <w:top w:type="dxa" w:w="60"/>
              <w:left w:type="dxa" w:w="100"/>
              <w:bottom w:type="dxa" w:w="60"/>
              <w:right w:type="dxa" w:w="100"/>
            </w:tcMar>
          </w:tcPr>
          <w:p>
            <w:pPr>
              <w:spacing w:after="0"/>
            </w:pPr>
            <w:r>
              <w:rPr>
                <w:sz w:val="19"/>
                <w:szCs w:val="19"/>
              </w:rPr>
              <w:t xml:space="preserve">None — remediation is out of scope</w:t>
            </w:r>
          </w:p>
        </w:tc>
        <w:tc>
          <w:tcPr>
            <w:tcW w:type="dxa" w:w="3760"/>
            <w:tcMar>
              <w:top w:type="dxa" w:w="60"/>
              <w:left w:type="dxa" w:w="100"/>
              <w:bottom w:type="dxa" w:w="60"/>
              <w:right w:type="dxa" w:w="100"/>
            </w:tcMar>
          </w:tcPr>
          <w:p>
            <w:pPr>
              <w:spacing w:after="0"/>
            </w:pPr>
            <w:r>
              <w:rPr>
                <w:sz w:val="19"/>
                <w:szCs w:val="19"/>
              </w:rPr>
              <w:t xml:space="preserve">None</w:t>
            </w:r>
          </w:p>
        </w:tc>
      </w:tr>
      <w:tr>
        <w:tc>
          <w:tcPr>
            <w:tcW w:type="dxa" w:w="1900"/>
            <w:tcMar>
              <w:top w:type="dxa" w:w="60"/>
              <w:left w:type="dxa" w:w="100"/>
              <w:bottom w:type="dxa" w:w="60"/>
              <w:right w:type="dxa" w:w="100"/>
            </w:tcMar>
          </w:tcPr>
          <w:p>
            <w:pPr>
              <w:spacing w:after="0"/>
            </w:pPr>
            <w:r>
              <w:rPr>
                <w:sz w:val="19"/>
                <w:szCs w:val="19"/>
              </w:rPr>
              <w:t xml:space="preserve">Onboarding artifact</w:t>
            </w:r>
          </w:p>
        </w:tc>
        <w:tc>
          <w:tcPr>
            <w:tcW w:type="dxa" w:w="3700"/>
            <w:tcMar>
              <w:top w:type="dxa" w:w="60"/>
              <w:left w:type="dxa" w:w="100"/>
              <w:bottom w:type="dxa" w:w="60"/>
              <w:right w:type="dxa" w:w="100"/>
            </w:tcMar>
          </w:tcPr>
          <w:p>
            <w:pPr>
              <w:spacing w:after="0"/>
            </w:pPr>
            <w:r>
              <w:rPr>
                <w:sz w:val="19"/>
                <w:szCs w:val="19"/>
              </w:rPr>
              <w:t xml:space="preserve">CloudFormation template (cross_account_template.yaml)</w:t>
            </w:r>
          </w:p>
        </w:tc>
        <w:tc>
          <w:tcPr>
            <w:tcW w:type="dxa" w:w="3760"/>
            <w:tcMar>
              <w:top w:type="dxa" w:w="60"/>
              <w:left w:type="dxa" w:w="100"/>
              <w:bottom w:type="dxa" w:w="60"/>
              <w:right w:type="dxa" w:w="100"/>
            </w:tcMar>
          </w:tcPr>
          <w:p>
            <w:pPr>
              <w:spacing w:after="0"/>
            </w:pPr>
            <w:r>
              <w:rPr>
                <w:sz w:val="19"/>
                <w:szCs w:val="19"/>
              </w:rPr>
              <w:t xml:space="preserve">Bicep/ARM template or Terraform module</w:t>
            </w:r>
          </w:p>
        </w:tc>
      </w:tr>
    </w:tbl>
    <w:p>
      <w:pPr>
        <w:pStyle w:val="Heading2"/>
        <w:spacing w:after="120" w:before="280"/>
      </w:pPr>
      <w:r>
        <w:rPr>
          <w:color w:val="1F6FEB"/>
        </w:rPr>
        <w:t xml:space="preserve">4.3 Rules for connector authors</w:t>
      </w:r>
    </w:p>
    <w:p>
      <w:pPr>
        <w:pStyle w:val="ListParagraph"/>
        <w:numPr>
          <w:ilvl w:val="0"/>
          <w:numId w:val="2"/>
        </w:numPr>
        <w:spacing w:after="60" w:line="264"/>
      </w:pPr>
      <w:r>
        <w:t xml:space="preserve">A connector never writes to the database — it yields normalized models; the orchestrator owns persistence and diffing.</w:t>
      </w:r>
    </w:p>
    <w:p>
      <w:pPr>
        <w:pStyle w:val="ListParagraph"/>
        <w:numPr>
          <w:ilvl w:val="0"/>
          <w:numId w:val="2"/>
        </w:numPr>
        <w:spacing w:after="60" w:line="264"/>
      </w:pPr>
      <w:r>
        <w:t xml:space="preserve">All provider SDK code lives in connectors/; the connector-boundary CI gate fails any import elsewhere, and SDK error types never cross the boundary — codes become plain strings.</w:t>
      </w:r>
    </w:p>
    <w:p>
      <w:pPr>
        <w:pStyle w:val="ListParagraph"/>
        <w:numPr>
          <w:ilvl w:val="0"/>
          <w:numId w:val="2"/>
        </w:numPr>
        <w:spacing w:after="60" w:line="264"/>
      </w:pPr>
      <w:r>
        <w:t xml:space="preserve">Every AWS call an enricher makes must be granted to the scanning roles; a unit test parses the enrichers and the IAM policies and fails on any gap.</w:t>
      </w:r>
    </w:p>
    <w:p>
      <w:pPr>
        <w:pStyle w:val="ListParagraph"/>
        <w:numPr>
          <w:ilvl w:val="0"/>
          <w:numId w:val="2"/>
        </w:numPr>
        <w:spacing w:after="60" w:line="264"/>
      </w:pPr>
      <w:r>
        <w:t xml:space="preserve">A failed enrichment degrades that one resource (detail.enrichment_error) rather than failing its region.</w:t>
      </w:r>
    </w:p>
    <w:p>
      <w:pPr>
        <w:pStyle w:val="Heading1"/>
        <w:spacing w:after="160" w:before="360"/>
      </w:pPr>
      <w:r>
        <w:rPr>
          <w:color w:val="16213E"/>
        </w:rPr>
        <w:t xml:space="preserve">5. Operational Runbooks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60"/>
        <w:gridCol w:w="5100"/>
      </w:tblGrid>
      <w:tr>
        <w:trPr>
          <w:tblHeader/>
        </w:trPr>
        <w:tc>
          <w:tcPr>
            <w:tcW w:type="dxa" w:w="1900"/>
            <w:shd w:fill="16213E" w:val="clear"/>
            <w:tcMar>
              <w:top w:type="dxa" w:w="60"/>
              <w:left w:type="dxa" w:w="100"/>
              <w:bottom w:type="dxa" w:w="60"/>
              <w:right w:type="dxa" w:w="100"/>
            </w:tcMar>
          </w:tcPr>
          <w:p>
            <w:pPr>
              <w:spacing w:after="0"/>
            </w:pPr>
            <w:r>
              <w:rPr>
                <w:b/>
                <w:bCs/>
                <w:color w:val="FFFFFF"/>
                <w:sz w:val="19"/>
                <w:szCs w:val="19"/>
              </w:rPr>
              <w:t xml:space="preserve">Runbook</w:t>
            </w:r>
          </w:p>
        </w:tc>
        <w:tc>
          <w:tcPr>
            <w:tcW w:type="dxa" w:w="2360"/>
            <w:shd w:fill="16213E" w:val="clear"/>
            <w:tcMar>
              <w:top w:type="dxa" w:w="60"/>
              <w:left w:type="dxa" w:w="100"/>
              <w:bottom w:type="dxa" w:w="60"/>
              <w:right w:type="dxa" w:w="100"/>
            </w:tcMar>
          </w:tcPr>
          <w:p>
            <w:pPr>
              <w:spacing w:after="0"/>
            </w:pPr>
            <w:r>
              <w:rPr>
                <w:b/>
                <w:bCs/>
                <w:color w:val="FFFFFF"/>
                <w:sz w:val="19"/>
                <w:szCs w:val="19"/>
              </w:rPr>
              <w:t xml:space="preserve">Trigger</w:t>
            </w:r>
          </w:p>
        </w:tc>
        <w:tc>
          <w:tcPr>
            <w:tcW w:type="dxa" w:w="5100"/>
            <w:shd w:fill="16213E" w:val="clear"/>
            <w:tcMar>
              <w:top w:type="dxa" w:w="60"/>
              <w:left w:type="dxa" w:w="100"/>
              <w:bottom w:type="dxa" w:w="60"/>
              <w:right w:type="dxa" w:w="100"/>
            </w:tcMar>
          </w:tcPr>
          <w:p>
            <w:pPr>
              <w:spacing w:after="0"/>
            </w:pPr>
            <w:r>
              <w:rPr>
                <w:b/>
                <w:bCs/>
                <w:color w:val="FFFFFF"/>
                <w:sz w:val="19"/>
                <w:szCs w:val="19"/>
              </w:rPr>
              <w:t xml:space="preserve">First actions</w:t>
            </w:r>
          </w:p>
        </w:tc>
      </w:tr>
      <w:tr>
        <w:tc>
          <w:tcPr>
            <w:tcW w:type="dxa" w:w="1900"/>
            <w:tcMar>
              <w:top w:type="dxa" w:w="60"/>
              <w:left w:type="dxa" w:w="100"/>
              <w:bottom w:type="dxa" w:w="60"/>
              <w:right w:type="dxa" w:w="100"/>
            </w:tcMar>
          </w:tcPr>
          <w:p>
            <w:pPr>
              <w:spacing w:after="0"/>
            </w:pPr>
            <w:r>
              <w:rPr>
                <w:sz w:val="19"/>
                <w:szCs w:val="19"/>
              </w:rPr>
              <w:t xml:space="preserve">Registration fails</w:t>
            </w:r>
          </w:p>
        </w:tc>
        <w:tc>
          <w:tcPr>
            <w:tcW w:type="dxa" w:w="2360"/>
            <w:tcMar>
              <w:top w:type="dxa" w:w="60"/>
              <w:left w:type="dxa" w:w="100"/>
              <w:bottom w:type="dxa" w:w="60"/>
              <w:right w:type="dxa" w:w="100"/>
            </w:tcMar>
          </w:tcPr>
          <w:p>
            <w:pPr>
              <w:spacing w:after="0"/>
            </w:pPr>
            <w:r>
              <w:rPr>
                <w:sz w:val="19"/>
                <w:szCs w:val="19"/>
              </w:rPr>
              <w:t xml:space="preserve">“Registration failed…” in the UI</w:t>
            </w:r>
          </w:p>
        </w:tc>
        <w:tc>
          <w:tcPr>
            <w:tcW w:type="dxa" w:w="5100"/>
            <w:tcMar>
              <w:top w:type="dxa" w:w="60"/>
              <w:left w:type="dxa" w:w="100"/>
              <w:bottom w:type="dxa" w:w="60"/>
              <w:right w:type="dxa" w:w="100"/>
            </w:tcMar>
          </w:tcPr>
          <w:p>
            <w:pPr>
              <w:spacing w:after="0"/>
            </w:pPr>
            <w:r>
              <w:rPr>
                <w:sz w:val="19"/>
                <w:szCs w:val="19"/>
              </w:rPr>
              <w:t xml:space="preserve">Read the verification kind in the API log: no_usable_access = a missing read permission; role_not_assumable = the trust policy or ExternalId. Never widen permissions to make it pass — find the missing grant.</w:t>
            </w:r>
          </w:p>
        </w:tc>
      </w:tr>
      <w:tr>
        <w:tc>
          <w:tcPr>
            <w:tcW w:type="dxa" w:w="1900"/>
            <w:tcMar>
              <w:top w:type="dxa" w:w="60"/>
              <w:left w:type="dxa" w:w="100"/>
              <w:bottom w:type="dxa" w:w="60"/>
              <w:right w:type="dxa" w:w="100"/>
            </w:tcMar>
          </w:tcPr>
          <w:p>
            <w:pPr>
              <w:spacing w:after="0"/>
            </w:pPr>
            <w:r>
              <w:rPr>
                <w:sz w:val="19"/>
                <w:szCs w:val="19"/>
              </w:rPr>
              <w:t xml:space="preserve">Scan finished failed</w:t>
            </w:r>
          </w:p>
        </w:tc>
        <w:tc>
          <w:tcPr>
            <w:tcW w:type="dxa" w:w="2360"/>
            <w:tcMar>
              <w:top w:type="dxa" w:w="60"/>
              <w:left w:type="dxa" w:w="100"/>
              <w:bottom w:type="dxa" w:w="60"/>
              <w:right w:type="dxa" w:w="100"/>
            </w:tcMar>
          </w:tcPr>
          <w:p>
            <w:pPr>
              <w:spacing w:after="0"/>
            </w:pPr>
            <w:r>
              <w:rPr>
                <w:sz w:val="19"/>
                <w:szCs w:val="19"/>
              </w:rPr>
              <w:t xml:space="preserve">Scan operations shows failed</w:t>
            </w:r>
          </w:p>
        </w:tc>
        <w:tc>
          <w:tcPr>
            <w:tcW w:type="dxa" w:w="5100"/>
            <w:tcMar>
              <w:top w:type="dxa" w:w="60"/>
              <w:left w:type="dxa" w:w="100"/>
              <w:bottom w:type="dxa" w:w="60"/>
              <w:right w:type="dxa" w:w="100"/>
            </w:tcMar>
          </w:tcPr>
          <w:p>
            <w:pPr>
              <w:spacing w:after="0"/>
            </w:pPr>
            <w:r>
              <w:rPr>
                <w:sz w:val="19"/>
                <w:szCs w:val="19"/>
              </w:rPr>
              <w:t xml:space="preserve">Read the scan-worker log for the unit's error. A denied describe now marks one resource, so a failed unit means discovery itself failed — permissions or egress.</w:t>
            </w:r>
          </w:p>
        </w:tc>
      </w:tr>
      <w:tr>
        <w:tc>
          <w:tcPr>
            <w:tcW w:type="dxa" w:w="1900"/>
            <w:tcMar>
              <w:top w:type="dxa" w:w="60"/>
              <w:left w:type="dxa" w:w="100"/>
              <w:bottom w:type="dxa" w:w="60"/>
              <w:right w:type="dxa" w:w="100"/>
            </w:tcMar>
          </w:tcPr>
          <w:p>
            <w:pPr>
              <w:spacing w:after="0"/>
            </w:pPr>
            <w:r>
              <w:rPr>
                <w:sz w:val="19"/>
                <w:szCs w:val="19"/>
              </w:rPr>
              <w:t xml:space="preserve">Ownership dead-lettered</w:t>
            </w:r>
          </w:p>
        </w:tc>
        <w:tc>
          <w:tcPr>
            <w:tcW w:type="dxa" w:w="2360"/>
            <w:tcMar>
              <w:top w:type="dxa" w:w="60"/>
              <w:left w:type="dxa" w:w="100"/>
              <w:bottom w:type="dxa" w:w="60"/>
              <w:right w:type="dxa" w:w="100"/>
            </w:tcMar>
          </w:tcPr>
          <w:p>
            <w:pPr>
              <w:spacing w:after="0"/>
            </w:pPr>
            <w:r>
              <w:rPr>
                <w:sz w:val="19"/>
                <w:szCs w:val="19"/>
              </w:rPr>
              <w:t xml:space="preserve">Messages in the ownership DLQ</w:t>
            </w:r>
          </w:p>
        </w:tc>
        <w:tc>
          <w:tcPr>
            <w:tcW w:type="dxa" w:w="5100"/>
            <w:tcMar>
              <w:top w:type="dxa" w:w="60"/>
              <w:left w:type="dxa" w:w="100"/>
              <w:bottom w:type="dxa" w:w="60"/>
              <w:right w:type="dxa" w:w="100"/>
            </w:tcMar>
          </w:tcPr>
          <w:p>
            <w:pPr>
              <w:spacing w:after="0"/>
            </w:pPr>
            <w:r>
              <w:rPr>
                <w:sz w:val="19"/>
                <w:szCs w:val="19"/>
              </w:rPr>
              <w:t xml:space="preserve">Look for ThrottlingException in the worker log; the sweeps filter to write events and retry adaptively. Re-run a scan to requeue.</w:t>
            </w:r>
          </w:p>
        </w:tc>
      </w:tr>
      <w:tr>
        <w:tc>
          <w:tcPr>
            <w:tcW w:type="dxa" w:w="1900"/>
            <w:tcMar>
              <w:top w:type="dxa" w:w="60"/>
              <w:left w:type="dxa" w:w="100"/>
              <w:bottom w:type="dxa" w:w="60"/>
              <w:right w:type="dxa" w:w="100"/>
            </w:tcMar>
          </w:tcPr>
          <w:p>
            <w:pPr>
              <w:spacing w:after="0"/>
            </w:pPr>
            <w:r>
              <w:rPr>
                <w:sz w:val="19"/>
                <w:szCs w:val="19"/>
              </w:rPr>
              <w:t xml:space="preserve">Account turned failed</w:t>
            </w:r>
          </w:p>
        </w:tc>
        <w:tc>
          <w:tcPr>
            <w:tcW w:type="dxa" w:w="2360"/>
            <w:tcMar>
              <w:top w:type="dxa" w:w="60"/>
              <w:left w:type="dxa" w:w="100"/>
              <w:bottom w:type="dxa" w:w="60"/>
              <w:right w:type="dxa" w:w="100"/>
            </w:tcMar>
          </w:tcPr>
          <w:p>
            <w:pPr>
              <w:spacing w:after="0"/>
            </w:pPr>
            <w:r>
              <w:rPr>
                <w:sz w:val="19"/>
                <w:szCs w:val="19"/>
              </w:rPr>
              <w:t xml:space="preserve">The Accounts page shows a failure reason</w:t>
            </w:r>
          </w:p>
        </w:tc>
        <w:tc>
          <w:tcPr>
            <w:tcW w:type="dxa" w:w="5100"/>
            <w:tcMar>
              <w:top w:type="dxa" w:w="60"/>
              <w:left w:type="dxa" w:w="100"/>
              <w:bottom w:type="dxa" w:w="60"/>
              <w:right w:type="dxa" w:w="100"/>
            </w:tcMar>
          </w:tcPr>
          <w:p>
            <w:pPr>
              <w:spacing w:after="0"/>
            </w:pPr>
            <w:r>
              <w:rPr>
                <w:sz w:val="19"/>
                <w:szCs w:val="19"/>
              </w:rPr>
              <w:t xml:space="preserve">Follow the reason: re-deploy the scanner template with the registration ExternalId, then trigger a scan to re-verify.</w:t>
            </w:r>
          </w:p>
        </w:tc>
      </w:tr>
      <w:tr>
        <w:tc>
          <w:tcPr>
            <w:tcW w:type="dxa" w:w="1900"/>
            <w:tcMar>
              <w:top w:type="dxa" w:w="60"/>
              <w:left w:type="dxa" w:w="100"/>
              <w:bottom w:type="dxa" w:w="60"/>
              <w:right w:type="dxa" w:w="100"/>
            </w:tcMar>
          </w:tcPr>
          <w:p>
            <w:pPr>
              <w:spacing w:after="0"/>
            </w:pPr>
            <w:r>
              <w:rPr>
                <w:sz w:val="19"/>
                <w:szCs w:val="19"/>
              </w:rPr>
              <w:t xml:space="preserve">AI output missing</w:t>
            </w:r>
          </w:p>
        </w:tc>
        <w:tc>
          <w:tcPr>
            <w:tcW w:type="dxa" w:w="2360"/>
            <w:tcMar>
              <w:top w:type="dxa" w:w="60"/>
              <w:left w:type="dxa" w:w="100"/>
              <w:bottom w:type="dxa" w:w="60"/>
              <w:right w:type="dxa" w:w="100"/>
            </w:tcMar>
          </w:tcPr>
          <w:p>
            <w:pPr>
              <w:spacing w:after="0"/>
            </w:pPr>
            <w:r>
              <w:rPr>
                <w:sz w:val="19"/>
                <w:szCs w:val="19"/>
              </w:rPr>
              <w:t xml:space="preserve">No digest, or few suggestions</w:t>
            </w:r>
          </w:p>
        </w:tc>
        <w:tc>
          <w:tcPr>
            <w:tcW w:type="dxa" w:w="5100"/>
            <w:tcMar>
              <w:top w:type="dxa" w:w="60"/>
              <w:left w:type="dxa" w:w="100"/>
              <w:bottom w:type="dxa" w:w="60"/>
              <w:right w:type="dxa" w:w="100"/>
            </w:tcMar>
          </w:tcPr>
          <w:p>
            <w:pPr>
              <w:spacing w:after="0"/>
            </w:pPr>
            <w:r>
              <w:rPr>
                <w:sz w:val="19"/>
                <w:szCs w:val="19"/>
              </w:rPr>
              <w:t xml:space="preserve">Check agent_run: truncated = token cap reached, the next run continues; failed = model unreachable, often egress off. Grounding rejections are logged, never shown.</w:t>
            </w:r>
          </w:p>
        </w:tc>
      </w:tr>
      <w:tr>
        <w:tc>
          <w:tcPr>
            <w:tcW w:type="dxa" w:w="1900"/>
            <w:tcMar>
              <w:top w:type="dxa" w:w="60"/>
              <w:left w:type="dxa" w:w="100"/>
              <w:bottom w:type="dxa" w:w="60"/>
              <w:right w:type="dxa" w:w="100"/>
            </w:tcMar>
          </w:tcPr>
          <w:p>
            <w:pPr>
              <w:spacing w:after="0"/>
            </w:pPr>
            <w:r>
              <w:rPr>
                <w:sz w:val="19"/>
                <w:szCs w:val="19"/>
              </w:rPr>
              <w:t xml:space="preserve">Teardown stuck</w:t>
            </w:r>
          </w:p>
        </w:tc>
        <w:tc>
          <w:tcPr>
            <w:tcW w:type="dxa" w:w="2360"/>
            <w:tcMar>
              <w:top w:type="dxa" w:w="60"/>
              <w:left w:type="dxa" w:w="100"/>
              <w:bottom w:type="dxa" w:w="60"/>
              <w:right w:type="dxa" w:w="100"/>
            </w:tcMar>
          </w:tcPr>
          <w:p>
            <w:pPr>
              <w:spacing w:after="0"/>
            </w:pPr>
            <w:r>
              <w:rPr>
                <w:sz w:val="19"/>
                <w:szCs w:val="19"/>
              </w:rPr>
              <w:t xml:space="preserve">terraform destroy waiting</w:t>
            </w:r>
          </w:p>
        </w:tc>
        <w:tc>
          <w:tcPr>
            <w:tcW w:type="dxa" w:w="5100"/>
            <w:tcMar>
              <w:top w:type="dxa" w:w="60"/>
              <w:left w:type="dxa" w:w="100"/>
              <w:bottom w:type="dxa" w:w="60"/>
              <w:right w:type="dxa" w:w="100"/>
            </w:tcMar>
          </w:tcPr>
          <w:p>
            <w:pPr>
              <w:spacing w:after="0"/>
            </w:pPr>
            <w:r>
              <w:rPr>
                <w:sz w:val="19"/>
                <w:szCs w:val="19"/>
              </w:rPr>
              <w:t xml:space="preserve">Lambda network interfaces take about 20 minutes to release — wait, never delete them by hand. Dev's versioned bucket force-destroys (T146).</w:t>
            </w:r>
          </w:p>
        </w:tc>
      </w:tr>
    </w:tbl>
    <w:p>
      <w:pPr>
        <w:pStyle w:val="Heading2"/>
        <w:spacing w:after="120" w:before="280"/>
      </w:pPr>
      <w:r>
        <w:rPr>
          <w:color w:val="1F6FEB"/>
        </w:rPr>
        <w:t xml:space="preserve">5.1 Definition of Done (every task)</w:t>
      </w:r>
    </w:p>
    <w:p>
      <w:pPr>
        <w:pStyle w:val="ListParagraph"/>
        <w:numPr>
          <w:ilvl w:val="0"/>
          <w:numId w:val="2"/>
        </w:numPr>
        <w:spacing w:after="60" w:line="264"/>
      </w:pPr>
      <w:r>
        <w:t xml:space="preserve">Unit tests written and green; integration tests when the change touches the database or AWS (moto, Testcontainers, LocalStack).</w:t>
      </w:r>
    </w:p>
    <w:p>
      <w:pPr>
        <w:pStyle w:val="ListParagraph"/>
        <w:numPr>
          <w:ilvl w:val="0"/>
          <w:numId w:val="2"/>
        </w:numPr>
        <w:spacing w:after="60" w:line="264"/>
      </w:pPr>
      <w:r>
        <w:t xml:space="preserve">All 16 required checks green, including the recorded AI constitution review.</w:t>
      </w:r>
    </w:p>
    <w:p>
      <w:pPr>
        <w:pStyle w:val="ListParagraph"/>
        <w:numPr>
          <w:ilvl w:val="0"/>
          <w:numId w:val="2"/>
        </w:numPr>
        <w:spacing w:after="60" w:line="264"/>
      </w:pPr>
      <w:r>
        <w:t xml:space="preserve">Structured logs at operational boundaries; no credentials or secrets anywhere.</w:t>
      </w:r>
    </w:p>
    <w:p>
      <w:pPr>
        <w:pStyle w:val="ListParagraph"/>
        <w:numPr>
          <w:ilvl w:val="0"/>
          <w:numId w:val="2"/>
        </w:numPr>
        <w:spacing w:after="60" w:line="264"/>
      </w:pPr>
      <w:r>
        <w:t xml:space="preserve">API changes reflected in the generated OpenAPI document and the regenerated Angular client.</w:t>
      </w:r>
    </w:p>
    <w:p>
      <w:pPr>
        <w:pStyle w:val="ListParagraph"/>
        <w:numPr>
          <w:ilvl w:val="0"/>
          <w:numId w:val="2"/>
        </w:numPr>
        <w:spacing w:after="60" w:line="264"/>
      </w:pPr>
      <w:r>
        <w:t xml:space="preserve">Docs updated with the change: the spec's tasks, data model or quickstart, the ERD, and the touched README.</w:t>
      </w:r>
    </w:p>
    <w:p>
      <w:pPr>
        <w:pStyle w:val="Heading2"/>
        <w:spacing w:after="120" w:before="280"/>
      </w:pPr>
      <w:r>
        <w:rPr>
          <w:color w:val="1F6FEB"/>
        </w:rPr>
        <w:t xml:space="preserve">5.2 Working agreement (solo, with AI collaboration)</w:t>
      </w:r>
    </w:p>
    <w:p>
      <w:pPr>
        <w:pStyle w:val="ListParagraph"/>
        <w:numPr>
          <w:ilvl w:val="0"/>
          <w:numId w:val="2"/>
        </w:numPr>
        <w:spacing w:after="60" w:line="264"/>
      </w:pPr>
      <w:r>
        <w:t xml:space="preserve">One maintainer: Claude Code implements against the specs; the maintainer decides, reviews and merges.</w:t>
      </w:r>
    </w:p>
    <w:p>
      <w:pPr>
        <w:pStyle w:val="ListParagraph"/>
        <w:numPr>
          <w:ilvl w:val="0"/>
          <w:numId w:val="2"/>
        </w:numPr>
        <w:spacing w:after="60" w:line="264"/>
      </w:pPr>
      <w:r>
        <w:t xml:space="preserve">Short-lived branches, one task per pull request, merged the same day where possible; the trunk is always releasable.</w:t>
      </w:r>
    </w:p>
    <w:p>
      <w:pPr>
        <w:pStyle w:val="ListParagraph"/>
        <w:numPr>
          <w:ilvl w:val="0"/>
          <w:numId w:val="2"/>
        </w:numPr>
        <w:spacing w:after="60" w:line="264"/>
      </w:pPr>
      <w:r>
        <w:t xml:space="preserve">Nothing is called done until it is verified live, followed immediately by teardown and a cost sweep.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2026-08-13T22:16:05.185Z</dcterms:created>
  <dcterms:modified xsi:type="dcterms:W3CDTF">2026-08-13T22:16:05.185Z</dcterms:modified>
</cp:coreProperties>
</file>

<file path=docProps/custom.xml><?xml version="1.0" encoding="utf-8"?>
<Properties xmlns="http://schemas.openxmlformats.org/officeDocument/2006/custom-properties" xmlns:vt="http://schemas.openxmlformats.org/officeDocument/2006/docPropsVTypes"/>
</file>