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Human–AI Collaboration Audit Lab</w:t>
      </w:r>
    </w:p>
    <w:p>
      <w:pPr>
        <w:jc w:val="center"/>
      </w:pPr>
      <w:r>
        <w:t>Analysis Decision Rules and Single-Reviewer Plan</w:t>
      </w:r>
    </w:p>
    <w:p>
      <w:r>
        <w:t>Status: operational plan for an exploratory fictional-task pilot. This document clarifies decisions before further scoring; it does not claim that missing provenance has been recovered or that any scenario is eligible.</w:t>
      </w:r>
    </w:p>
    <w:p>
      <w:pPr>
        <w:pStyle w:val="Heading1"/>
      </w:pPr>
      <w:r>
        <w:t>1. Aim and scope</w:t>
      </w:r>
    </w:p>
    <w:p>
      <w:r>
        <w:t>Research question: Does structured evidence-checking and revision improve AI-generated responses to fictional healthcare-governance tasks compared with a one-shot response? The exercise is not clinical validation and does not use real patient or operational decision data.</w:t>
      </w:r>
    </w:p>
    <w:p>
      <w:pPr>
        <w:pStyle w:val="Heading1"/>
      </w:pPr>
      <w:r>
        <w:t>2. Eligibility gate for a paired Condition A–Condition B comparison</w:t>
      </w:r>
    </w:p>
    <w:p>
      <w:pPr>
        <w:pStyle w:val="ListBullet"/>
      </w:pPr>
      <w:r>
        <w:t>Both initial outputs must be preserved verbatim, with their exact task prompts and source evidence as supplied for each run.</w:t>
      </w:r>
    </w:p>
    <w:p>
      <w:pPr>
        <w:pStyle w:val="ListBullet"/>
      </w:pPr>
      <w:r>
        <w:t>The A and B initial tasks must contain substantively aligned source facts and requested output elements. Any mismatch must be documented; do not silently harmonise prompts after seeing outputs.</w:t>
      </w:r>
    </w:p>
    <w:p>
      <w:pPr>
        <w:pStyle w:val="ListBullet"/>
      </w:pPr>
      <w:r>
        <w:t>Condition A must be a one-shot initial response without the revision prompt. Condition B must have a traceable initial response followed by the standardised review/revision step.</w:t>
      </w:r>
    </w:p>
    <w:p>
      <w:pPr>
        <w:pStyle w:val="ListBullet"/>
      </w:pPr>
      <w:r>
        <w:t>Fresh-chat status, prior-context exposure, run date/time, model/version and visible settings are recorded only where evidence supports them. Unknown metadata remains “unknown”; do not reconstruct it from memory.</w:t>
      </w:r>
    </w:p>
    <w:p>
      <w:pPr>
        <w:pStyle w:val="ListBullet"/>
      </w:pPr>
      <w:r>
        <w:t>Duplicated or potentially reused responses are retained in the audit trail but excluded from the primary paired comparison unless independence is established.</w:t>
      </w:r>
    </w:p>
    <w:p>
      <w:pPr>
        <w:pStyle w:val="ListBullet"/>
      </w:pPr>
      <w:r>
        <w:t>If a required element cannot be verified, mark the scenario “pending” or “not eligible” and exclude it from the primary paired analysis. Descriptive notes may still be reported with clear qualification.</w:t>
      </w:r>
    </w:p>
    <w:p>
      <w:pPr>
        <w:pStyle w:val="Heading1"/>
      </w:pPr>
      <w:r>
        <w:t>3. Scoring rules</w:t>
      </w:r>
    </w:p>
    <w:p>
      <w:r>
        <w:t>Score accuracy, evidence fidelity, completeness and traceability on the existing 0–2 rubric. Record distinct unsupported factual claims separately and apply the existing error codes. Score correction success only for Condition B revised output. If no material initial error is identified, record correction success as N/A rather than zero or a success.</w:t>
      </w:r>
    </w:p>
    <w:p>
      <w:r>
        <w:t>Current ratings are single-assistant desk assessments. Label them provisional and do not report inter-rater reliability. If a second reviewer later becomes available, treat that as a new review step and document it; it is not required to continue the present single-reviewer pilot.</w:t>
      </w:r>
    </w:p>
    <w:p>
      <w:pPr>
        <w:pStyle w:val="Heading1"/>
      </w:pPr>
      <w:r>
        <w:t>4. Analysis rules</w:t>
      </w:r>
    </w:p>
    <w:p>
      <w:pPr>
        <w:pStyle w:val="ListBullet"/>
      </w:pPr>
      <w:r>
        <w:t>First report eligibility and provenance status, then describe scenario-level scores. Do not calculate a primary paired effect while no scenarios meet the eligibility gate.</w:t>
      </w:r>
    </w:p>
    <w:p>
      <w:pPr>
        <w:pStyle w:val="ListBullet"/>
      </w:pPr>
      <w:r>
        <w:t>For eligible pairs only, show A initial and B initial scores side by side for each rubric dimension; show B initial versus B revised separately to describe revision changes.</w:t>
      </w:r>
    </w:p>
    <w:p>
      <w:pPr>
        <w:pStyle w:val="ListBullet"/>
      </w:pPr>
      <w:r>
        <w:t>Keep ordinal dimensions separate. Do not present a summed score as a validated measure of safety, trustworthiness or overall quality.</w:t>
      </w:r>
    </w:p>
    <w:p>
      <w:pPr>
        <w:pStyle w:val="ListBullet"/>
      </w:pPr>
      <w:r>
        <w:t>Report unsupported-claim counts as observed desk-review counts, not proof of absence. Explain that scoring all items at 2/2 creates a ceiling effect.</w:t>
      </w:r>
    </w:p>
    <w:p>
      <w:pPr>
        <w:pStyle w:val="ListBullet"/>
      </w:pPr>
      <w:r>
        <w:t>With six fictional scenarios and single-reviewer scoring, prioritise descriptive tables and transparent limitations. Do not make inferential, causal, clinical-safety or generalisation claims.</w:t>
      </w:r>
    </w:p>
    <w:p>
      <w:pPr>
        <w:pStyle w:val="Heading1"/>
      </w:pPr>
      <w:r>
        <w:t>5. Current scenario decisions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Current decision</w:t>
            </w:r>
          </w:p>
        </w:tc>
        <w:tc>
          <w:tcPr>
            <w:tcW w:type="dxa" w:w="2880"/>
          </w:tcPr>
          <w:p>
            <w:r>
              <w:t>Outstanding gate</w:t>
            </w:r>
          </w:p>
        </w:tc>
      </w:tr>
      <w:tr>
        <w:tc>
          <w:tcPr>
            <w:tcW w:type="dxa" w:w="2880"/>
          </w:tcPr>
          <w:p>
            <w:r>
              <w:t>HG001 — Training completion</w:t>
            </w:r>
          </w:p>
        </w:tc>
        <w:tc>
          <w:tcPr>
            <w:tcW w:type="dxa" w:w="2880"/>
          </w:tcPr>
          <w:p>
            <w:r>
              <w:t>Not eligible pending verification</w:t>
            </w:r>
          </w:p>
        </w:tc>
        <w:tc>
          <w:tcPr>
            <w:tcW w:type="dxa" w:w="2880"/>
          </w:tcPr>
          <w:p>
            <w:r>
              <w:t>Condition B initial provenance; exact prompts/source and run details.</w:t>
            </w:r>
          </w:p>
        </w:tc>
      </w:tr>
      <w:tr>
        <w:tc>
          <w:tcPr>
            <w:tcW w:type="dxa" w:w="2880"/>
          </w:tcPr>
          <w:p>
            <w:r>
              <w:t>HG002 — Equipment check</w:t>
            </w:r>
          </w:p>
        </w:tc>
        <w:tc>
          <w:tcPr>
            <w:tcW w:type="dxa" w:w="2880"/>
          </w:tcPr>
          <w:p>
            <w:r>
              <w:t>Not eligible pending verification</w:t>
            </w:r>
          </w:p>
        </w:tc>
        <w:tc>
          <w:tcPr>
            <w:tcW w:type="dxa" w:w="2880"/>
          </w:tcPr>
          <w:p>
            <w:r>
              <w:t>Compare exact A/B evidence and prompts; keep duplicated B record excluded; note prior-context issue.</w:t>
            </w:r>
          </w:p>
        </w:tc>
      </w:tr>
      <w:tr>
        <w:tc>
          <w:tcPr>
            <w:tcW w:type="dxa" w:w="2880"/>
          </w:tcPr>
          <w:p>
            <w:r>
              <w:t>HG003 — Risk register</w:t>
            </w:r>
          </w:p>
        </w:tc>
        <w:tc>
          <w:tcPr>
            <w:tcW w:type="dxa" w:w="2880"/>
          </w:tcPr>
          <w:p>
            <w:r>
              <w:t>Pending verification</w:t>
            </w:r>
          </w:p>
        </w:tc>
        <w:tc>
          <w:tcPr>
            <w:tcW w:type="dxa" w:w="2880"/>
          </w:tcPr>
          <w:p>
            <w:r>
              <w:t>Verify verbatim A/B prompts, evidence and outputs; record run metadata where available.</w:t>
            </w:r>
          </w:p>
        </w:tc>
      </w:tr>
      <w:tr>
        <w:tc>
          <w:tcPr>
            <w:tcW w:type="dxa" w:w="2880"/>
          </w:tcPr>
          <w:p>
            <w:r>
              <w:t>HG004 — Audit sampling</w:t>
            </w:r>
          </w:p>
        </w:tc>
        <w:tc>
          <w:tcPr>
            <w:tcW w:type="dxa" w:w="2880"/>
          </w:tcPr>
          <w:p>
            <w:r>
              <w:t>Pending verification</w:t>
            </w:r>
          </w:p>
        </w:tc>
        <w:tc>
          <w:tcPr>
            <w:tcW w:type="dxa" w:w="2880"/>
          </w:tcPr>
          <w:p>
            <w:r>
              <w:t>Verify verbatim A/B prompts, evidence and outputs; record run metadata where available.</w:t>
            </w:r>
          </w:p>
        </w:tc>
      </w:tr>
      <w:tr>
        <w:tc>
          <w:tcPr>
            <w:tcW w:type="dxa" w:w="2880"/>
          </w:tcPr>
          <w:p>
            <w:r>
              <w:t>HG005 — Document control</w:t>
            </w:r>
          </w:p>
        </w:tc>
        <w:tc>
          <w:tcPr>
            <w:tcW w:type="dxa" w:w="2880"/>
          </w:tcPr>
          <w:p>
            <w:r>
              <w:t>Pending verification</w:t>
            </w:r>
          </w:p>
        </w:tc>
        <w:tc>
          <w:tcPr>
            <w:tcW w:type="dxa" w:w="2880"/>
          </w:tcPr>
          <w:p>
            <w:r>
              <w:t>Verify verbatim A/B prompts, evidence and outputs; record run metadata where available.</w:t>
            </w:r>
          </w:p>
        </w:tc>
      </w:tr>
      <w:tr>
        <w:tc>
          <w:tcPr>
            <w:tcW w:type="dxa" w:w="2880"/>
          </w:tcPr>
          <w:p>
            <w:r>
              <w:t>HG006 — Complaints trend</w:t>
            </w:r>
          </w:p>
        </w:tc>
        <w:tc>
          <w:tcPr>
            <w:tcW w:type="dxa" w:w="2880"/>
          </w:tcPr>
          <w:p>
            <w:r>
              <w:t>Pending verification</w:t>
            </w:r>
          </w:p>
        </w:tc>
        <w:tc>
          <w:tcPr>
            <w:tcW w:type="dxa" w:w="2880"/>
          </w:tcPr>
          <w:p>
            <w:r>
              <w:t>Verify verbatim A/B prompts, evidence and outputs; record run metadata where available.</w:t>
            </w:r>
          </w:p>
        </w:tc>
      </w:tr>
    </w:tbl>
    <w:p>
      <w:pPr>
        <w:pStyle w:val="Heading1"/>
      </w:pPr>
      <w:r>
        <w:t>6. Current results wording</w:t>
      </w:r>
    </w:p>
    <w:p>
      <w:r>
        <w:t>Safe wording: “No scenario is currently confirmed eligible for the primary paired A-versus-B comparison. For HG003–HG006, provisional single-assistant desk assessments are at the ceiling on the four core rubric dimensions, with no score change observed between the recorded initial and revised responses. This does not establish that revision is ineffective or that outputs are error-free.”</w:t>
      </w:r>
    </w:p>
    <w:p>
      <w:pPr>
        <w:pStyle w:val="Heading1"/>
      </w:pPr>
      <w:r>
        <w:t>7. Next execution sequence</w:t>
      </w:r>
    </w:p>
    <w:p>
      <w:pPr>
        <w:pStyle w:val="ListNumber"/>
      </w:pPr>
      <w:r>
        <w:t>Recover and freeze the original prompt/source/output records from existing chats or files where possible.</w:t>
      </w:r>
    </w:p>
    <w:p>
      <w:pPr>
        <w:pStyle w:val="ListNumber"/>
      </w:pPr>
      <w:r>
        <w:t>Complete the provenance register with supported values; leave unknown fields blank or explicitly unknown.</w:t>
      </w:r>
    </w:p>
    <w:p>
      <w:pPr>
        <w:pStyle w:val="ListNumber"/>
      </w:pPr>
      <w:r>
        <w:t>Apply the eligibility gate without reference to whether a response scored well.</w:t>
      </w:r>
    </w:p>
    <w:p>
      <w:pPr>
        <w:pStyle w:val="ListNumber"/>
      </w:pPr>
      <w:r>
        <w:t>Rescore eligible records consistently using the rubric; retain the current provisional scores as provisional until this check is complete.</w:t>
      </w:r>
    </w:p>
    <w:p>
      <w:pPr>
        <w:pStyle w:val="ListNumber"/>
      </w:pPr>
      <w:r>
        <w:t>Update the report and workbook from the resulting eligibility decisions; preserve the excluded records and reasons in the audit trail.</w:t>
      </w:r>
    </w:p>
    <w:p>
      <w:r>
        <w:t>Version note: Prepared 21 October 2026 from the current project records. This is an operational decision-rules document, not evidence that reruns or metadata verification have occurred.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