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Final Consistency and Quality Check</w:t>
      </w:r>
    </w:p>
    <w:p>
      <w:pPr>
        <w:jc w:val="center"/>
      </w:pPr>
      <w:r>
        <w:rPr>
          <w:i/>
        </w:rPr>
        <w:t>Human–AI Interaction in Healthcare Governance | 21 October 2026</w:t>
      </w:r>
    </w:p>
    <w:p>
      <w:pPr>
        <w:pStyle w:val="Heading1"/>
      </w:pPr>
      <w:r>
        <w:t>Files checked</w:t>
      </w:r>
    </w:p>
    <w:p>
      <w:r>
        <w:t>AI_Audit_Lab_Final_Exploratory_Pilot_Report.docx</w:t>
      </w:r>
    </w:p>
    <w:p>
      <w:r>
        <w:t>AI_Audit_Lab_Consolidated_Working_Dataset.xlsx</w:t>
      </w:r>
    </w:p>
    <w:p>
      <w:pPr>
        <w:pStyle w:val="Heading1"/>
      </w:pPr>
      <w:r>
        <w:t>Checks completed</w:t>
      </w:r>
    </w:p>
    <w:p>
      <w:pPr>
        <w:pStyle w:val="ListBullet"/>
      </w:pPr>
      <w:r>
        <w:rPr>
          <w:b/>
        </w:rPr>
        <w:t xml:space="preserve">Scenario coverage: </w:t>
      </w:r>
      <w:r>
        <w:t>All six scenario identifiers HG001–HG006 appear in the report and the workbook eligibility sheet.</w:t>
      </w:r>
    </w:p>
    <w:p>
      <w:pPr>
        <w:pStyle w:val="ListBullet"/>
      </w:pPr>
      <w:r>
        <w:rPr>
          <w:b/>
        </w:rPr>
        <w:t xml:space="preserve">Eligibility conclusion: </w:t>
      </w:r>
      <w:r>
        <w:t>Both files state that no scenario is currently confirmed eligible for the primary paired Condition A-versus-Condition B comparison.</w:t>
      </w:r>
    </w:p>
    <w:p>
      <w:pPr>
        <w:pStyle w:val="ListBullet"/>
      </w:pPr>
      <w:r>
        <w:rPr>
          <w:b/>
        </w:rPr>
        <w:t xml:space="preserve">HG001: </w:t>
      </w:r>
      <w:r>
        <w:t>Training completion figures are consistent: 32/40 = 80%, target ≥90%, eight incomplete; reasons are not recorded; B-initial provenance unresolved.</w:t>
      </w:r>
    </w:p>
    <w:p>
      <w:pPr>
        <w:pStyle w:val="ListBullet"/>
      </w:pPr>
      <w:r>
        <w:rPr>
          <w:b/>
        </w:rPr>
        <w:t xml:space="preserve">HG002: </w:t>
      </w:r>
      <w:r>
        <w:t>Due 4 May and completed 6 May is described as a two-calendar-day difference by date. The older duplicated B record is excluded; fresh B prompt/evidence alignment and metadata remain unverified.</w:t>
      </w:r>
    </w:p>
    <w:p>
      <w:pPr>
        <w:pStyle w:val="ListBullet"/>
      </w:pPr>
      <w:r>
        <w:rPr>
          <w:b/>
        </w:rPr>
        <w:t xml:space="preserve">HG003: </w:t>
      </w:r>
      <w:r>
        <w:t>The report preserves the distinction between listed controls and demonstrated control effectiveness; no risk score or incident count is invented.</w:t>
      </w:r>
    </w:p>
    <w:p>
      <w:pPr>
        <w:pStyle w:val="ListBullet"/>
      </w:pPr>
      <w:r>
        <w:rPr>
          <w:b/>
        </w:rPr>
        <w:t xml:space="preserve">HG004: </w:t>
      </w:r>
      <w:r>
        <w:t>16/20 = 80% sample compliance and 4/20 = 20% sample exceptions; the report avoids population generalisation.</w:t>
      </w:r>
    </w:p>
    <w:p>
      <w:pPr>
        <w:pStyle w:val="ListBullet"/>
      </w:pPr>
      <w:r>
        <w:rPr>
          <w:b/>
        </w:rPr>
        <w:t xml:space="preserve">HG005: </w:t>
      </w:r>
      <w:r>
        <w:t>15 August to 22 August is described as a seven-calendar-day difference; reason, impact and eventual status remain unknown.</w:t>
      </w:r>
    </w:p>
    <w:p>
      <w:pPr>
        <w:pStyle w:val="ListBullet"/>
      </w:pPr>
      <w:r>
        <w:rPr>
          <w:b/>
        </w:rPr>
        <w:t xml:space="preserve">HG006: </w:t>
      </w:r>
      <w:r>
        <w:t>Counts 12, 9, 11 and percentage changes −25%, +22.22%, and −8.33% match the workbook. Causal/service-quality interpretations are not made.</w:t>
      </w:r>
    </w:p>
    <w:p>
      <w:pPr>
        <w:pStyle w:val="ListBullet"/>
      </w:pPr>
      <w:r>
        <w:rPr>
          <w:b/>
        </w:rPr>
        <w:t xml:space="preserve">Scoring interpretation: </w:t>
      </w:r>
      <w:r>
        <w:t>HG003–HG006 scores are labelled provisional, single-assistant desk assessments at ceiling; no measured score improvement is claimed.</w:t>
      </w:r>
    </w:p>
    <w:p>
      <w:pPr>
        <w:pStyle w:val="ListBullet"/>
      </w:pPr>
      <w:r>
        <w:rPr>
          <w:b/>
        </w:rPr>
        <w:t xml:space="preserve">Limitations: </w:t>
      </w:r>
      <w:r>
        <w:t>Single-reviewer status, lack of inter-rater reliability assessment, unresolved prompt/provenance metadata, and non-clinical fictional scope are disclosed.</w:t>
      </w:r>
    </w:p>
    <w:p>
      <w:pPr>
        <w:pStyle w:val="Heading1"/>
      </w:pPr>
      <w:r>
        <w:t>Outcome</w:t>
      </w:r>
    </w:p>
    <w:p>
      <w:r>
        <w:t>No material numerical or eligibility contradiction was found in the checks above. The report and workbook are aligned on the central conclusion and the current eligibility boundary. This check verifies internal consistency only; it does not independently validate original prompts, outputs, provenance, model metadata or the provisional scores.</w:t>
      </w:r>
    </w:p>
    <w:p>
      <w:pPr>
        <w:pStyle w:val="Heading1"/>
      </w:pPr>
      <w:r>
        <w:t>Remaining limits—not treated as errors</w:t>
      </w:r>
    </w:p>
    <w:p>
      <w:pPr>
        <w:pStyle w:val="ListBullet"/>
      </w:pPr>
      <w:r>
        <w:t>No scenario is confirmed eligible for the primary paired A/B analysis.</w:t>
      </w:r>
    </w:p>
    <w:p>
      <w:pPr>
        <w:pStyle w:val="ListBullet"/>
      </w:pPr>
      <w:r>
        <w:t>HG001 B-initial provenance remains unresolved.</w:t>
      </w:r>
    </w:p>
    <w:p>
      <w:pPr>
        <w:pStyle w:val="ListBullet"/>
      </w:pPr>
      <w:r>
        <w:t>HG002 prompt/evidence alignment and run metadata remain unverified; the duplicate remains excluded.</w:t>
      </w:r>
    </w:p>
    <w:p>
      <w:pPr>
        <w:pStyle w:val="ListBullet"/>
      </w:pPr>
      <w:r>
        <w:t>HG003–HG006 prompt alignment and run metadata remain unverified.</w:t>
      </w:r>
    </w:p>
    <w:p>
      <w:pPr>
        <w:pStyle w:val="ListBullet"/>
      </w:pPr>
      <w:r>
        <w:t>No independent reviewer was available; results remain single-reviewer desk assessments.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