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Human–AI Collaboration Audit Lab</w:t>
      </w:r>
    </w:p>
    <w:p>
      <w:pPr>
        <w:pStyle w:val="Heading1"/>
      </w:pPr>
      <w:r>
        <w:t>HG005–HG006 Record Verification Note</w:t>
      </w:r>
    </w:p>
    <w:p>
      <w:r>
        <w:rPr>
          <w:b/>
        </w:rPr>
        <w:t xml:space="preserve">Status: </w:t>
      </w:r>
      <w:r>
        <w:t>Desk-record audit completed; prompt/provenance verification remains open.</w:t>
      </w:r>
    </w:p>
    <w:p>
      <w:pPr>
        <w:pStyle w:val="Heading2"/>
      </w:pPr>
      <w:r>
        <w:t>HG005 — Document control</w:t>
      </w:r>
    </w:p>
    <w:p>
      <w:r>
        <w:t>Source facts in the project record: the action was due on 15 August and was still marked “in progress” on 22 August. The date difference is seven calendar days. The reason and impact are unknown.</w:t>
      </w:r>
    </w:p>
    <w:p>
      <w:r>
        <w:t>The saved Condition B review/revision and correction log are available. The review did not identify a material unsupported factual claim or contradiction. The revision mainly improves clarity and organisation; the record does not demonstrate a material factual accuracy gain. Current status after 22 August, extent of progress, responsible person and revised completion date are not supplied.</w:t>
      </w:r>
    </w:p>
    <w:p>
      <w:pPr>
        <w:pStyle w:val="Heading2"/>
      </w:pPr>
      <w:r>
        <w:t>HG006 — Complaints trend</w:t>
      </w:r>
    </w:p>
    <w:p>
      <w:r>
        <w:t>Source counts: January 12, February 9, March 11. Calculations from those counts: January to February −25%; February to March +22.22%; January to March −8.33%. These calculations describe the recorded counts only.</w:t>
      </w:r>
    </w:p>
    <w:p>
      <w:r>
        <w:t>The saved Condition B review/revision and correction log are available. The desk review finds the counts/calculations and limitations appropriately handled; no material initial factual error is identified in current notes. Complaint severity, categories, service volume, reporting changes and reasons for the changes are not supplied, so the counts alone do not establish causes or service quality.</w:t>
      </w:r>
    </w:p>
    <w:p>
      <w:pPr>
        <w:pStyle w:val="Heading2"/>
      </w:pPr>
      <w:r>
        <w:t>Scoring and eligibility</w:t>
      </w:r>
    </w:p>
    <w:p>
      <w:r>
        <w:t>The existing dataset records provisional 2/2 desk scores for accuracy, evidence fidelity, completeness and traceability, and zero unsupported factual claims identified, for HG005 and HG006 outputs. These are not independent reviewer ratings. Correction success should remain N/A when no material initial error was identified, rather than implying a factual correction occurred.</w:t>
      </w:r>
    </w:p>
    <w:p>
      <w:r>
        <w:t>Neither HG005 nor HG006 is confirmed eligible for a primary Condition A-versus-B comparison yet. Exact source/prompt alignment and model/version/settings metadata remain unverified; fresh-chat provenance is user-reported rather than independently verified.</w:t>
      </w:r>
    </w:p>
    <w:p>
      <w:pPr>
        <w:pStyle w:val="Heading2"/>
      </w:pPr>
      <w:r>
        <w:t>Next steps</w:t>
      </w:r>
    </w:p>
    <w:p>
      <w:pPr>
        <w:pStyle w:val="ListNumber"/>
      </w:pPr>
      <w:r>
        <w:t>Verify exact source evidence and task prompts for every A/B pair, with particular attention to the known HG002 mismatch.</w:t>
      </w:r>
    </w:p>
    <w:p>
      <w:pPr>
        <w:pStyle w:val="ListNumber"/>
      </w:pPr>
      <w:r>
        <w:t>Verify run provenance and model/version/settings where records are available.</w:t>
      </w:r>
    </w:p>
    <w:p>
      <w:pPr>
        <w:pStyle w:val="ListNumber"/>
      </w:pPr>
      <w:r>
        <w:t>Resolve HG001 Condition B initial provenance.</w:t>
      </w:r>
    </w:p>
    <w:p>
      <w:pPr>
        <w:pStyle w:val="ListNumber"/>
      </w:pPr>
      <w:r>
        <w:t>Rescore eligible outputs consistently against the frozen rubric; retain provisional status until checks are complete.</w:t>
      </w:r>
    </w:p>
    <w:p>
      <w:pPr>
        <w:pStyle w:val="ListNumber"/>
      </w:pPr>
      <w:r>
        <w:t>Calculate paired descriptive results only for scenarios that pass eligibility checks, and clearly state the small exploratory scope and absence of independent review.</w:t>
      </w:r>
    </w:p>
    <w:p>
      <w:r>
        <w:t>Scope note: this is a fictional governance pilot, not clinical validation or evidence about real healthcare workers. The audit is based on existing saved project records and does not independently authenticate the original generation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