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Human–AI Interaction in Healthcare Governance</w:t>
      </w:r>
    </w:p>
    <w:p>
      <w:pPr>
        <w:jc w:val="center"/>
      </w:pPr>
      <w:r>
        <w:rPr>
          <w:b/>
        </w:rPr>
        <w:t>Interim Results, Interpretation and Limitations</w:t>
      </w:r>
    </w:p>
    <w:p>
      <w:pPr>
        <w:jc w:val="center"/>
      </w:pPr>
      <w:r>
        <w:t>Exploratory fictional-task pilot | Status date: 21 October 2026</w:t>
      </w:r>
    </w:p>
    <w:p>
      <w:pPr>
        <w:pStyle w:val="Heading1"/>
      </w:pPr>
      <w:r>
        <w:t>Status and scope</w:t>
      </w:r>
    </w:p>
    <w:p>
      <w:r>
        <w:t>This interim report is based on the project records inspected to date. The pilot uses six fictional healthcare-governance scenarios. It is not clinical validation and is not an empirical study of real healthcare workers. Scores discussed here are provisional desk assessments by the same assistant, not independent reviewer ratings.</w:t>
      </w:r>
    </w:p>
    <w:p>
      <w:pPr>
        <w:pStyle w:val="Heading1"/>
      </w:pPr>
      <w:r>
        <w:t>Results</w:t>
      </w:r>
    </w:p>
    <w:p>
      <w:pPr>
        <w:pStyle w:val="Heading2"/>
      </w:pPr>
      <w:r>
        <w:t>Availability and comparison eligibility</w:t>
      </w:r>
    </w:p>
    <w:p>
      <w:r>
        <w:t>Records exist for all six scenarios, but no scenario is currently confirmed eligible for the primary Condition A-versus-Condition B comparison. Eligibility requires verification of verbatim prompts and source evidence, independence/provenance of initial outputs, and model/version/settings where available. Missing metadata are not inferred.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Scenario</w:t>
            </w:r>
          </w:p>
        </w:tc>
        <w:tc>
          <w:tcPr>
            <w:tcW w:type="dxa" w:w="3360"/>
            <w:vAlign w:val="center"/>
          </w:tcPr>
          <w:p>
            <w:r>
              <w:t>Current decision</w:t>
            </w:r>
          </w:p>
        </w:tc>
        <w:tc>
          <w:tcPr>
            <w:tcW w:type="dxa" w:w="3360"/>
            <w:vAlign w:val="center"/>
          </w:tcPr>
          <w:p>
            <w:r>
              <w:t>Reason / outstanding check</w:t>
            </w:r>
          </w:p>
        </w:tc>
      </w:tr>
      <w:tr>
        <w:tc>
          <w:tcPr>
            <w:tcW w:type="dxa" w:w="3360"/>
            <w:vAlign w:val="center"/>
          </w:tcPr>
          <w:p>
            <w:r>
              <w:t>HG001 — Training completion</w:t>
            </w:r>
          </w:p>
        </w:tc>
        <w:tc>
          <w:tcPr>
            <w:tcW w:type="dxa" w:w="3360"/>
            <w:vAlign w:val="center"/>
          </w:tcPr>
          <w:p>
            <w:r>
              <w:t>Not eligible yet</w:t>
            </w:r>
          </w:p>
        </w:tc>
        <w:tc>
          <w:tcPr>
            <w:tcW w:type="dxa" w:w="3360"/>
            <w:vAlign w:val="center"/>
          </w:tcPr>
          <w:p>
            <w:r>
              <w:t>Condition B initial-response provenance unresolved; scores remain unassigned.</w:t>
            </w:r>
          </w:p>
        </w:tc>
      </w:tr>
      <w:tr>
        <w:tc>
          <w:tcPr>
            <w:tcW w:type="dxa" w:w="3360"/>
            <w:vAlign w:val="center"/>
          </w:tcPr>
          <w:p>
            <w:r>
              <w:t>HG002 — Equipment check</w:t>
            </w:r>
          </w:p>
        </w:tc>
        <w:tc>
          <w:tcPr>
            <w:tcW w:type="dxa" w:w="3360"/>
            <w:vAlign w:val="center"/>
          </w:tcPr>
          <w:p>
            <w:r>
              <w:t>Not eligible yet</w:t>
            </w:r>
          </w:p>
        </w:tc>
        <w:tc>
          <w:tcPr>
            <w:tcW w:type="dxa" w:w="3360"/>
            <w:vAlign w:val="center"/>
          </w:tcPr>
          <w:p>
            <w:r>
              <w:t>A/B prompt and source-evidence alignment require checking; earlier duplicated B record excluded; fresh B run metadata not independently verified.</w:t>
            </w:r>
          </w:p>
        </w:tc>
      </w:tr>
      <w:tr>
        <w:tc>
          <w:tcPr>
            <w:tcW w:type="dxa" w:w="3360"/>
            <w:vAlign w:val="center"/>
          </w:tcPr>
          <w:p>
            <w:r>
              <w:t>HG003 — Risk register</w:t>
            </w:r>
          </w:p>
        </w:tc>
        <w:tc>
          <w:tcPr>
            <w:tcW w:type="dxa" w:w="3360"/>
            <w:vAlign w:val="center"/>
          </w:tcPr>
          <w:p>
            <w:r>
              <w:t>Potential candidate</w:t>
            </w:r>
          </w:p>
        </w:tc>
        <w:tc>
          <w:tcPr>
            <w:tcW w:type="dxa" w:w="3360"/>
            <w:vAlign w:val="center"/>
          </w:tcPr>
          <w:p>
            <w:r>
              <w:t>Exact A/B prompts, source evidence and run metadata not verified.</w:t>
            </w:r>
          </w:p>
        </w:tc>
      </w:tr>
      <w:tr>
        <w:tc>
          <w:tcPr>
            <w:tcW w:type="dxa" w:w="3360"/>
            <w:vAlign w:val="center"/>
          </w:tcPr>
          <w:p>
            <w:r>
              <w:t>HG004 — Audit sampling</w:t>
            </w:r>
          </w:p>
        </w:tc>
        <w:tc>
          <w:tcPr>
            <w:tcW w:type="dxa" w:w="3360"/>
            <w:vAlign w:val="center"/>
          </w:tcPr>
          <w:p>
            <w:r>
              <w:t>Potential candidate</w:t>
            </w:r>
          </w:p>
        </w:tc>
        <w:tc>
          <w:tcPr>
            <w:tcW w:type="dxa" w:w="3360"/>
            <w:vAlign w:val="center"/>
          </w:tcPr>
          <w:p>
            <w:r>
              <w:t>Exact A/B prompts, source evidence and run metadata not verified.</w:t>
            </w:r>
          </w:p>
        </w:tc>
      </w:tr>
      <w:tr>
        <w:tc>
          <w:tcPr>
            <w:tcW w:type="dxa" w:w="3360"/>
            <w:vAlign w:val="center"/>
          </w:tcPr>
          <w:p>
            <w:r>
              <w:t>HG005 — Document control</w:t>
            </w:r>
          </w:p>
        </w:tc>
        <w:tc>
          <w:tcPr>
            <w:tcW w:type="dxa" w:w="3360"/>
            <w:vAlign w:val="center"/>
          </w:tcPr>
          <w:p>
            <w:r>
              <w:t>Potential candidate</w:t>
            </w:r>
          </w:p>
        </w:tc>
        <w:tc>
          <w:tcPr>
            <w:tcW w:type="dxa" w:w="3360"/>
            <w:vAlign w:val="center"/>
          </w:tcPr>
          <w:p>
            <w:r>
              <w:t>Exact A/B prompts, source evidence and run metadata not verified.</w:t>
            </w:r>
          </w:p>
        </w:tc>
      </w:tr>
      <w:tr>
        <w:tc>
          <w:tcPr>
            <w:tcW w:type="dxa" w:w="3360"/>
            <w:vAlign w:val="center"/>
          </w:tcPr>
          <w:p>
            <w:r>
              <w:t>HG006 — Complaints trend</w:t>
            </w:r>
          </w:p>
        </w:tc>
        <w:tc>
          <w:tcPr>
            <w:tcW w:type="dxa" w:w="3360"/>
            <w:vAlign w:val="center"/>
          </w:tcPr>
          <w:p>
            <w:r>
              <w:t>Potential candidate</w:t>
            </w:r>
          </w:p>
        </w:tc>
        <w:tc>
          <w:tcPr>
            <w:tcW w:type="dxa" w:w="3360"/>
            <w:vAlign w:val="center"/>
          </w:tcPr>
          <w:p>
            <w:r>
              <w:t>Exact A/B prompts, source evidence and run metadata not verified.</w:t>
            </w:r>
          </w:p>
        </w:tc>
      </w:tr>
    </w:tbl>
    <w:p>
      <w:pPr>
        <w:pStyle w:val="Heading2"/>
      </w:pPr>
      <w:r>
        <w:t>Provisional descriptive pattern: HG003–HG006</w:t>
      </w:r>
    </w:p>
    <w:p>
      <w:r>
        <w:t>Existing desk assessments assigned Condition A initial, Condition B initial, and Condition B revised outputs 2/2 on each of four rubric dimensions: accuracy, evidence fidelity, completeness, and traceability. The reviews identified zero material unsupported factual claims in these outputs. This describes what the provisional review identified; it does not prove that no errors exist.</w:t>
      </w:r>
    </w:p>
    <w:p>
      <w:r>
        <w:t>No score-based improvement is demonstrated in these four scenarios: all assessed outputs received maximum provisional scores on the four core dimensions. Review notes mainly describe clearer organisation, uncertainty labelling, and presentation. The available record does not demonstrate material factual-accuracy improvement attributable to revision.</w:t>
      </w:r>
    </w:p>
    <w:p>
      <w:pPr>
        <w:pStyle w:val="Heading2"/>
      </w:pPr>
      <w:r>
        <w:t>Scenario-specific evidence notes</w:t>
      </w:r>
    </w:p>
    <w:p>
      <w:pPr>
        <w:pStyle w:val="ListBullet"/>
      </w:pPr>
      <w:r>
        <w:rPr>
          <w:b/>
        </w:rPr>
        <w:t xml:space="preserve">HG001 — Training completion: </w:t>
      </w:r>
      <w:r>
        <w:t>The one-shot report records 32 of 40 staff complete (80%), a target of at least 90%, and eight incomplete; reasons are not recorded. B-initial provenance prevents a clean A/B comparison at present.</w:t>
      </w:r>
    </w:p>
    <w:p>
      <w:pPr>
        <w:pStyle w:val="ListBullet"/>
      </w:pPr>
      <w:r>
        <w:rPr>
          <w:b/>
        </w:rPr>
        <w:t xml:space="preserve">HG002 — Equipment check: </w:t>
      </w:r>
      <w:r>
        <w:t>The check was due 4 May and completed 6 May, a two-calendar-day difference by date. Reason and harm are unknown. The canonical scenario includes discovery during a routine review, while the shorter prompt may omit that detail. An earlier B record duplicated A and remains excluded.</w:t>
      </w:r>
    </w:p>
    <w:p>
      <w:pPr>
        <w:pStyle w:val="ListBullet"/>
      </w:pPr>
      <w:r>
        <w:rPr>
          <w:b/>
        </w:rPr>
        <w:t xml:space="preserve">HG003 — Risk register: </w:t>
      </w:r>
      <w:r>
        <w:t>The source records incomplete handover information, a template and monthly spot checks as listed controls, a blank action field, and no risk scores or incident counts. Control effectiveness and risk severity cannot be inferred.</w:t>
      </w:r>
    </w:p>
    <w:p>
      <w:pPr>
        <w:pStyle w:val="ListBullet"/>
      </w:pPr>
      <w:r>
        <w:rPr>
          <w:b/>
        </w:rPr>
        <w:t xml:space="preserve">HG004 — Audit sampling: </w:t>
      </w:r>
      <w:r>
        <w:t>Of 20 sampled records, 16 were compliant and four had exceptions: 80% sample compliance and 20% sample exceptions. Sampling method and representativeness are unknown; results cannot be generalised to the full population.</w:t>
      </w:r>
    </w:p>
    <w:p>
      <w:pPr>
        <w:pStyle w:val="ListBullet"/>
      </w:pPr>
      <w:r>
        <w:rPr>
          <w:b/>
        </w:rPr>
        <w:t xml:space="preserve">HG005 — Document control: </w:t>
      </w:r>
      <w:r>
        <w:t>An action due 15 August was still marked in progress on 22 August, a seven-calendar-day difference. Reason, impact and subsequent status are unknown.</w:t>
      </w:r>
    </w:p>
    <w:p>
      <w:pPr>
        <w:pStyle w:val="ListBullet"/>
      </w:pPr>
      <w:r>
        <w:rPr>
          <w:b/>
        </w:rPr>
        <w:t xml:space="preserve">HG006 — Complaints trend: </w:t>
      </w:r>
      <w:r>
        <w:t>Recorded counts were January 12, February 9 and March 11. Counts alone do not establish causes, changes in service quality, or complaint rates because service volume, severity, categories and reporting changes are not supplied.</w:t>
      </w:r>
    </w:p>
    <w:p>
      <w:pPr>
        <w:pStyle w:val="Heading1"/>
      </w:pPr>
      <w:r>
        <w:t>Limitations</w:t>
      </w:r>
    </w:p>
    <w:p>
      <w:pPr>
        <w:pStyle w:val="ListBullet"/>
      </w:pPr>
      <w:r>
        <w:t>Single-assistant scoring: no independent second reviewer has scored outputs, so inter-rater agreement cannot be reported.</w:t>
      </w:r>
    </w:p>
    <w:p>
      <w:pPr>
        <w:pStyle w:val="ListBullet"/>
      </w:pPr>
      <w:r>
        <w:t>Unresolved provenance: the origin and independence of the HG001 Condition B initial response are unclear.</w:t>
      </w:r>
    </w:p>
    <w:p>
      <w:pPr>
        <w:pStyle w:val="ListBullet"/>
      </w:pPr>
      <w:r>
        <w:t>Prompt/source alignment: HG002 has a possible mismatch between the canonical scenario and shorter task evidence; the older duplicated B response must not be counted as independent.</w:t>
      </w:r>
    </w:p>
    <w:p>
      <w:pPr>
        <w:pStyle w:val="ListBullet"/>
      </w:pPr>
      <w:r>
        <w:t>Prior-context contamination: the fresh HG002 B response was generated in a conversation containing earlier project material, differing from the intended fresh-chat protocol.</w:t>
      </w:r>
    </w:p>
    <w:p>
      <w:pPr>
        <w:pStyle w:val="ListBullet"/>
      </w:pPr>
      <w:r>
        <w:t>Metadata gaps: exact prompts, source text as supplied per run, model/version, settings and timestamps are not consistently verified.</w:t>
      </w:r>
    </w:p>
    <w:p>
      <w:pPr>
        <w:pStyle w:val="ListBullet"/>
      </w:pPr>
      <w:r>
        <w:t>Ceiling effect: HG003–HG006 received maximum provisional scores on the four core dimensions, limiting the rubric’s ability to detect improvement.</w:t>
      </w:r>
    </w:p>
    <w:p>
      <w:pPr>
        <w:pStyle w:val="ListBullet"/>
      </w:pPr>
      <w:r>
        <w:t>Small fictional task set: six scenarios do not support broad claims about real healthcare organisations, workers or operational safety.</w:t>
      </w:r>
    </w:p>
    <w:p>
      <w:pPr>
        <w:pStyle w:val="ListBullet"/>
      </w:pPr>
      <w:r>
        <w:t>Zero identified unsupported claims is not proof of absence; it is limited to the current provisional review.</w:t>
      </w:r>
    </w:p>
    <w:p>
      <w:pPr>
        <w:pStyle w:val="Heading1"/>
      </w:pPr>
      <w:r>
        <w:t>Interpretation</w:t>
      </w:r>
    </w:p>
    <w:p>
      <w:r>
        <w:t>The evidence supports a cautious descriptive account of the records and evaluation process, not a definitive estimate of workflow effect. It does not establish that structured revision improves factual accuracy, and it does not establish that revision has no benefit. Comparisons remain exploratory until prompt/evidence alignment and provenance are resolved and independent scoring is obtained if feasible.</w:t>
      </w:r>
    </w:p>
    <w:p>
      <w:pPr>
        <w:pStyle w:val="Heading1"/>
      </w:pPr>
      <w:r>
        <w:t>Next steps</w:t>
      </w:r>
    </w:p>
    <w:p>
      <w:pPr>
        <w:pStyle w:val="ListNumber"/>
      </w:pPr>
      <w:r>
        <w:t>Preserve each original prompt, exact source evidence, complete output, revision prompt and correction log verbatim.</w:t>
      </w:r>
    </w:p>
    <w:p>
      <w:pPr>
        <w:pStyle w:val="ListNumber"/>
      </w:pPr>
      <w:r>
        <w:t>Resolve or explicitly retain as unresolved the provenance of HG001 Condition B initial.</w:t>
      </w:r>
    </w:p>
    <w:p>
      <w:pPr>
        <w:pStyle w:val="ListNumber"/>
      </w:pPr>
      <w:r>
        <w:t>For HG002, compare exact A and fresh-B prompts and document the alignment decision; keep the duplicated B record excluded.</w:t>
      </w:r>
    </w:p>
    <w:p>
      <w:pPr>
        <w:pStyle w:val="ListNumber"/>
      </w:pPr>
      <w:r>
        <w:t>Record model/version, settings, run date/time and fresh-chat status only where supported by original evidence.</w:t>
      </w:r>
    </w:p>
    <w:p>
      <w:pPr>
        <w:pStyle w:val="ListNumber"/>
      </w:pPr>
      <w:r>
        <w:t>Ask a second reviewer to score eligible outputs independently, preferably blinded to condition labels; record and reconcile disagreements.</w:t>
      </w:r>
    </w:p>
    <w:p>
      <w:pPr>
        <w:pStyle w:val="ListNumber"/>
      </w:pPr>
      <w:r>
        <w:t>Only then produce final descriptive tables for eligible pairs. Do not run inferential tests or make definitive workflow-effect claims from this pilot.</w:t>
      </w:r>
    </w:p>
    <w:p>
      <w:pPr>
        <w:pStyle w:val="Heading1"/>
      </w:pPr>
      <w:r>
        <w:t>Suggested interim conclusion</w:t>
      </w:r>
    </w:p>
    <w:p>
      <w:r>
        <w:t>In this exploratory fictional-task pilot, available provisional desk assessments for HG003–HG006 showed no differences in the four rubric scores between one-shot, structured-workflow initial, and revised outputs; all received maximum scores. This pattern is limited by a ceiling effect, single-assistant assessment, and unresolved prompt/provenance metadata. The pilot therefore does not demonstrate a measurable factual-accuracy benefit from structured revision, nor can it rule out benefits not captured by the current rubric. A defensible comparison requires verified source/prompt alignment and independent scoring.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