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Journal Route Decision Brief</w:t>
      </w:r>
    </w:p>
    <w:p>
      <w:pPr>
        <w:jc w:val="center"/>
      </w:pPr>
      <w:r>
        <w:rPr>
          <w:i/>
        </w:rPr>
        <w:t>For the Human–AI Collaboration Audit Lab exploratory pilot | 21 October 2026</w:t>
      </w:r>
    </w:p>
    <w:p>
      <w:pPr>
        <w:pStyle w:val="Heading1"/>
      </w:pPr>
      <w:r>
        <w:t>Recommendation in one sentence</w:t>
      </w:r>
    </w:p>
    <w:p>
      <w:r>
        <w:t>Prioritise a methods-focused submission to BMJ Health &amp; Care Informatics, with JAMIA Open as the alternative, but first strengthen the manuscript's contribution beyond a report of unresolved provenance and ceiling-level provisional scores. Do not submit the current draft unchanged.</w:t>
      </w:r>
    </w:p>
    <w:p>
      <w:pPr>
        <w:pStyle w:val="Heading1"/>
      </w:pPr>
      <w:r>
        <w:t>Shortlist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Venue</w:t>
            </w:r>
          </w:p>
        </w:tc>
        <w:tc>
          <w:tcPr>
            <w:tcW w:type="dxa" w:w="1987"/>
          </w:tcPr>
          <w:p>
            <w:r>
              <w:t>Scope fit</w:t>
            </w:r>
          </w:p>
        </w:tc>
        <w:tc>
          <w:tcPr>
            <w:tcW w:type="dxa" w:w="1987"/>
          </w:tcPr>
          <w:p>
            <w:r>
              <w:t>Fit for current evidence</w:t>
            </w:r>
          </w:p>
        </w:tc>
        <w:tc>
          <w:tcPr>
            <w:tcW w:type="dxa" w:w="1987"/>
          </w:tcPr>
          <w:p>
            <w:r>
              <w:t>Main concern</w:t>
            </w:r>
          </w:p>
        </w:tc>
        <w:tc>
          <w:tcPr>
            <w:tcW w:type="dxa" w:w="1987"/>
          </w:tcPr>
          <w:p>
            <w:r>
              <w:t>Recommendation</w:t>
            </w:r>
          </w:p>
        </w:tc>
      </w:tr>
      <w:tr>
        <w:tc>
          <w:tcPr>
            <w:tcW w:type="dxa" w:w="1987"/>
          </w:tcPr>
          <w:p>
            <w:r>
              <w:t>BMJ Health &amp; Care Informatics</w:t>
            </w:r>
          </w:p>
        </w:tc>
        <w:tc>
          <w:tcPr>
            <w:tcW w:type="dxa" w:w="1987"/>
          </w:tcPr>
          <w:p>
            <w:r>
              <w:t>Publishes research and evaluation in health and care informatics, including implementation and policy contexts.</w:t>
            </w:r>
          </w:p>
        </w:tc>
        <w:tc>
          <w:tcPr>
            <w:tcW w:type="dxa" w:w="1987"/>
          </w:tcPr>
          <w:p>
            <w:r>
              <w:t>Potentially the closest fit if framed as a transparent exploratory methods/quality-improvement evaluation.</w:t>
            </w:r>
          </w:p>
        </w:tc>
        <w:tc>
          <w:tcPr>
            <w:tcW w:type="dxa" w:w="1987"/>
          </w:tcPr>
          <w:p>
            <w:r>
              <w:t>The present dataset does not support an A-versus-B effectiveness estimate; contribution must be clear and methodologically useful.</w:t>
            </w:r>
          </w:p>
        </w:tc>
        <w:tc>
          <w:tcPr>
            <w:tcW w:type="dxa" w:w="1987"/>
          </w:tcPr>
          <w:p>
            <w:r>
              <w:t>First choice to investigate. Check article types, word limits, and editorial suitability before formatting.</w:t>
            </w:r>
          </w:p>
        </w:tc>
      </w:tr>
      <w:tr>
        <w:tc>
          <w:tcPr>
            <w:tcW w:type="dxa" w:w="1987"/>
          </w:tcPr>
          <w:p>
            <w:r>
              <w:t>JAMIA Open</w:t>
            </w:r>
          </w:p>
        </w:tc>
        <w:tc>
          <w:tcPr>
            <w:tcW w:type="dxa" w:w="1987"/>
          </w:tcPr>
          <w:p>
            <w:r>
              <w:t>Biomedical and health informatics, including data science, qualitative research, implementation science, and original research.</w:t>
            </w:r>
          </w:p>
        </w:tc>
        <w:tc>
          <w:tcPr>
            <w:tcW w:type="dxa" w:w="1987"/>
          </w:tcPr>
          <w:p>
            <w:r>
              <w:t>Possible if the paper offers a clear reusable method or practical insight beyond documenting missing provenance.</w:t>
            </w:r>
          </w:p>
        </w:tc>
        <w:tc>
          <w:tcPr>
            <w:tcW w:type="dxa" w:w="1987"/>
          </w:tcPr>
          <w:p>
            <w:r>
              <w:t>Novelty and substantial contribution may be questioned without eligible paired data or independent assessment.</w:t>
            </w:r>
          </w:p>
        </w:tc>
        <w:tc>
          <w:tcPr>
            <w:tcW w:type="dxa" w:w="1987"/>
          </w:tcPr>
          <w:p>
            <w:r>
              <w:t>Second choice. Consider only after strengthening reproducibility and the methods contribution.</w:t>
            </w:r>
          </w:p>
        </w:tc>
      </w:tr>
      <w:tr>
        <w:tc>
          <w:tcPr>
            <w:tcW w:type="dxa" w:w="1987"/>
          </w:tcPr>
          <w:p>
            <w:r>
              <w:t>PLOS Digital Health</w:t>
            </w:r>
          </w:p>
        </w:tc>
        <w:tc>
          <w:tcPr>
            <w:tcW w:type="dxa" w:w="1987"/>
          </w:tcPr>
          <w:p>
            <w:r>
              <w:t>Interdisciplinary digital-health research, methods, tools, and data; publication criteria emphasise originality, methodological rigor, and substantial evidence.</w:t>
            </w:r>
          </w:p>
        </w:tc>
        <w:tc>
          <w:tcPr>
            <w:tcW w:type="dxa" w:w="1987"/>
          </w:tcPr>
          <w:p>
            <w:r>
              <w:t>Currently weaker fit for a small fictional-scenario pilot with unresolved provenance and no validated comparison.</w:t>
            </w:r>
          </w:p>
        </w:tc>
        <w:tc>
          <w:tcPr>
            <w:tcW w:type="dxa" w:w="1987"/>
          </w:tcPr>
          <w:p>
            <w:r>
              <w:t>Published criteria emphasise high methodological rigor and substantial evidence for conclusions.</w:t>
            </w:r>
          </w:p>
        </w:tc>
        <w:tc>
          <w:tcPr>
            <w:tcW w:type="dxa" w:w="1987"/>
          </w:tcPr>
          <w:p>
            <w:r>
              <w:t>Defer unless a controlled rerun or stronger independent evaluation is added.</w:t>
            </w:r>
          </w:p>
        </w:tc>
      </w:tr>
    </w:tbl>
    <w:p>
      <w:pPr>
        <w:pStyle w:val="Heading1"/>
      </w:pPr>
      <w:r>
        <w:t>Evidence behind this shortlist</w:t>
      </w:r>
    </w:p>
    <w:p>
      <w:r>
        <w:t>BMJ Health &amp; Care Informatics states that it publishes research and evaluation, reviews, protocols and other article types, with a scope centred on informatics supporting health and care service provision, public-health strategies, learning health systems and policy. Official pages: https://informatics.bmj.com/pages/about and https://informatics.bmj.com/pages/authors.</w:t>
      </w:r>
    </w:p>
    <w:p>
      <w:r>
        <w:t>JAMIA Open describes its scope as biomedical and health informatics, including clinical/public-health informatics, data science, qualitative research and implementation science; it encourages accessible data and source code where appropriate. Official page: https://academic.oup.com/jamiaopen/pages/general_instructions.</w:t>
      </w:r>
    </w:p>
    <w:p>
      <w:r>
        <w:t>PLOS Digital Health describes itself as publishing research using digital tools and data to advance healthcare, and its criteria include originality, high methodological rigor, and substantial evidence for conclusions. Official pages: https://journals.plos.org/digitalhealth/s/journal-information and https://journals.plos.org/digitalhealth/s/submission-guidelines.</w:t>
      </w:r>
    </w:p>
    <w:p>
      <w:pPr>
        <w:pStyle w:val="Heading1"/>
      </w:pPr>
      <w:r>
        <w:t>What the manuscript should claim</w:t>
      </w:r>
    </w:p>
    <w:p>
      <w:pPr>
        <w:pStyle w:val="ListBullet"/>
      </w:pPr>
      <w:r>
        <w:t>Accurately describe six fictional governance scenarios and the response records available for review.</w:t>
      </w:r>
    </w:p>
    <w:p>
      <w:pPr>
        <w:pStyle w:val="ListBullet"/>
      </w:pPr>
      <w:r>
        <w:t>Report that no scenario is currently confirmed eligible for the primary paired A-versus-B comparison.</w:t>
      </w:r>
    </w:p>
    <w:p>
      <w:pPr>
        <w:pStyle w:val="ListBullet"/>
      </w:pPr>
      <w:r>
        <w:t>Describe HG003–HG006 ratings as provisional, ceiling-level, same-assistant desk assessments.</w:t>
      </w:r>
    </w:p>
    <w:p>
      <w:pPr>
        <w:pStyle w:val="ListBullet"/>
      </w:pPr>
      <w:r>
        <w:t>Present provenance, prompt/evidence alignment, and independent review as the key methodological constraints.</w:t>
      </w:r>
    </w:p>
    <w:p>
      <w:pPr>
        <w:pStyle w:val="ListBullet"/>
      </w:pPr>
      <w:r>
        <w:t>Do not claim that revision improves accuracy, that it has no benefit, or that the outputs are error-free.</w:t>
      </w:r>
    </w:p>
    <w:p>
      <w:pPr>
        <w:pStyle w:val="Heading1"/>
      </w:pPr>
      <w:r>
        <w:t>What must be completed before submission</w:t>
      </w:r>
    </w:p>
    <w:p>
      <w:pPr>
        <w:pStyle w:val="ListNumber"/>
      </w:pPr>
      <w:r>
        <w:t>Recover and freeze exact prompts, source evidence, complete outputs, and available model/version/settings metadata where possible.</w:t>
      </w:r>
    </w:p>
    <w:p>
      <w:pPr>
        <w:pStyle w:val="ListNumber"/>
      </w:pPr>
      <w:r>
        <w:t>If recovery fails, state exactly which records are unavailable and keep the paired effectiveness analysis out of scope.</w:t>
      </w:r>
    </w:p>
    <w:p>
      <w:pPr>
        <w:pStyle w:val="ListNumber"/>
      </w:pPr>
      <w:r>
        <w:t>Add a concise and reproducible description of scenario selection, rubric anchors, unsupported-claim coding, and review process.</w:t>
      </w:r>
    </w:p>
    <w:p>
      <w:pPr>
        <w:pStyle w:val="ListNumber"/>
      </w:pPr>
      <w:r>
        <w:t>Verify the reference list and ensure every citation supports the sentence it is attached to.</w:t>
      </w:r>
    </w:p>
    <w:p>
      <w:pPr>
        <w:pStyle w:val="ListNumber"/>
      </w:pPr>
      <w:r>
        <w:t>Complete author names/affiliations/contributions, funding, conflicts, ethics/oversight, data availability, and AI-assisted writing disclosure.</w:t>
      </w:r>
    </w:p>
    <w:p>
      <w:pPr>
        <w:pStyle w:val="ListNumber"/>
      </w:pPr>
      <w:r>
        <w:t>Check the selected journal's current article types, word limits, reporting checklist expectations, data policy, publication fees, and AI policy.</w:t>
      </w:r>
    </w:p>
    <w:p>
      <w:pPr>
        <w:pStyle w:val="ListNumber"/>
      </w:pPr>
      <w:r>
        <w:t>Consider an editorial presubmission enquiry that transparently describes the small fictional-scenario pilot and unresolved paired eligibility.</w:t>
      </w:r>
    </w:p>
    <w:p>
      <w:pPr>
        <w:pStyle w:val="Heading1"/>
      </w:pPr>
      <w:r>
        <w:t>Decision rule</w:t>
      </w:r>
    </w:p>
    <w:p>
      <w:r>
        <w:t>If the study remains a descriptive methods pilot with unresolved provenance, approach BMJ Health &amp; Care Informatics first only after the methods contribution is sharpened and author declarations are complete. If the main purpose is to demonstrate effectiveness of structured revision, do not submit this version as an effectiveness study; conduct a controlled rerun with frozen prompts and independent scoring first.</w:t>
      </w:r>
    </w:p>
    <w:p>
      <w:pPr>
        <w:pStyle w:val="Heading1"/>
      </w:pPr>
      <w:r>
        <w:t>Official links</w:t>
      </w:r>
    </w:p>
    <w:p>
      <w:pPr>
        <w:pStyle w:val="ListBullet"/>
      </w:pPr>
      <w:r>
        <w:rPr>
          <w:b/>
        </w:rPr>
        <w:t xml:space="preserve">BMJ Health &amp; Care Informatics — aims and scope: </w:t>
      </w:r>
      <w:r>
        <w:t>https://informatics.bmj.com/pages/about</w:t>
      </w:r>
    </w:p>
    <w:p>
      <w:pPr>
        <w:pStyle w:val="ListBullet"/>
      </w:pPr>
      <w:r>
        <w:rPr>
          <w:b/>
        </w:rPr>
        <w:t xml:space="preserve">BMJ Health &amp; Care Informatics — author guidance: </w:t>
      </w:r>
      <w:r>
        <w:t>https://informatics.bmj.com/pages/authors</w:t>
      </w:r>
    </w:p>
    <w:p>
      <w:pPr>
        <w:pStyle w:val="ListBullet"/>
      </w:pPr>
      <w:r>
        <w:rPr>
          <w:b/>
        </w:rPr>
        <w:t xml:space="preserve">JAMIA Open — author instructions: </w:t>
      </w:r>
      <w:r>
        <w:t>https://academic.oup.com/jamiaopen/pages/general_instructions</w:t>
      </w:r>
    </w:p>
    <w:p>
      <w:pPr>
        <w:pStyle w:val="ListBullet"/>
      </w:pPr>
      <w:r>
        <w:rPr>
          <w:b/>
        </w:rPr>
        <w:t xml:space="preserve">PLOS Digital Health — journal information: </w:t>
      </w:r>
      <w:r>
        <w:t>https://journals.plos.org/digitalhealth/s/journal-information</w:t>
      </w:r>
    </w:p>
    <w:p>
      <w:pPr>
        <w:pStyle w:val="ListBullet"/>
      </w:pPr>
      <w:r>
        <w:rPr>
          <w:b/>
        </w:rPr>
        <w:t xml:space="preserve">PLOS Digital Health — submission guidelines: </w:t>
      </w:r>
      <w:r>
        <w:t>https://journals.plos.org/digitalhealth/s/submission-guidelines</w:t>
      </w:r>
    </w:p>
    <w:p>
      <w:pPr>
        <w:pStyle w:val="ListBullet"/>
      </w:pPr>
      <w:r>
        <w:rPr>
          <w:b/>
        </w:rPr>
        <w:t xml:space="preserve">TRIPOD-LLM reporting guideline: </w:t>
      </w:r>
      <w:r>
        <w:t>https://www.nature.com/articles/s41591-024-03425-5</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