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Human–AI Collaboration Audit Lab</w:t>
      </w:r>
    </w:p>
    <w:p>
      <w:pPr>
        <w:jc w:val="center"/>
      </w:pPr>
      <w:r>
        <w:t>Progress estimate and remaining work</w:t>
      </w:r>
    </w:p>
    <w:p>
      <w:r>
        <w:t>Status date: 21 October 2026 | Fictional governance scenarios only</w:t>
      </w:r>
    </w:p>
    <w:p>
      <w:pPr>
        <w:pStyle w:val="Heading1"/>
      </w:pPr>
      <w:r>
        <w:t>Overall estimate</w:t>
      </w:r>
    </w:p>
    <w:p>
      <w:r>
        <w:t>Estimated completion: 60% | Estimated remaining: 40%. This is a practical project-management estimate, not a measured research metric. It separates preparation/documentation from evidence verification and final analysis.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Workstream</w:t>
            </w:r>
          </w:p>
        </w:tc>
        <w:tc>
          <w:tcPr>
            <w:tcW w:type="dxa" w:w="2880"/>
          </w:tcPr>
          <w:p>
            <w:r>
              <w:t>Estimated status</w:t>
            </w:r>
          </w:p>
        </w:tc>
        <w:tc>
          <w:tcPr>
            <w:tcW w:type="dxa" w:w="2880"/>
          </w:tcPr>
          <w:p>
            <w:r>
              <w:t>What that means</w:t>
            </w:r>
          </w:p>
        </w:tc>
      </w:tr>
      <w:tr>
        <w:tc>
          <w:tcPr>
            <w:tcW w:type="dxa" w:w="2880"/>
          </w:tcPr>
          <w:p>
            <w:r>
              <w:t>Protocol, research question and rubric</w:t>
            </w:r>
          </w:p>
        </w:tc>
        <w:tc>
          <w:tcPr>
            <w:tcW w:type="dxa" w:w="2880"/>
          </w:tcPr>
          <w:p>
            <w:r>
              <w:t>90% complete</w:t>
            </w:r>
          </w:p>
        </w:tc>
        <w:tc>
          <w:tcPr>
            <w:tcW w:type="dxa" w:w="2880"/>
          </w:tcPr>
          <w:p>
            <w:r>
              <w:t>Design and scoring rules are documented; final consistency check still needed after eligibility decisions.</w:t>
            </w:r>
          </w:p>
        </w:tc>
      </w:tr>
      <w:tr>
        <w:tc>
          <w:tcPr>
            <w:tcW w:type="dxa" w:w="2880"/>
          </w:tcPr>
          <w:p>
            <w:r>
              <w:t>Scenario records and provisional scoring</w:t>
            </w:r>
          </w:p>
        </w:tc>
        <w:tc>
          <w:tcPr>
            <w:tcW w:type="dxa" w:w="2880"/>
          </w:tcPr>
          <w:p>
            <w:r>
              <w:t>75% complete</w:t>
            </w:r>
          </w:p>
        </w:tc>
        <w:tc>
          <w:tcPr>
            <w:tcW w:type="dxa" w:w="2880"/>
          </w:tcPr>
          <w:p>
            <w:r>
              <w:t>Six fictional scenarios and provisional desk assessments are documented; scoring remains provisional and single-reviewer.</w:t>
            </w:r>
          </w:p>
        </w:tc>
      </w:tr>
      <w:tr>
        <w:tc>
          <w:tcPr>
            <w:tcW w:type="dxa" w:w="2880"/>
          </w:tcPr>
          <w:p>
            <w:r>
              <w:t>Prompt/source/provenance verification</w:t>
            </w:r>
          </w:p>
        </w:tc>
        <w:tc>
          <w:tcPr>
            <w:tcW w:type="dxa" w:w="2880"/>
          </w:tcPr>
          <w:p>
            <w:r>
              <w:t>25% complete</w:t>
            </w:r>
          </w:p>
        </w:tc>
        <w:tc>
          <w:tcPr>
            <w:tcW w:type="dxa" w:w="2880"/>
          </w:tcPr>
          <w:p>
            <w:r>
              <w:t>Registers and rules exist, but exact prompts, source evidence and run metadata are not fully verified.</w:t>
            </w:r>
          </w:p>
        </w:tc>
      </w:tr>
      <w:tr>
        <w:tc>
          <w:tcPr>
            <w:tcW w:type="dxa" w:w="2880"/>
          </w:tcPr>
          <w:p>
            <w:r>
              <w:t>Primary paired A-versus-B analysis</w:t>
            </w:r>
          </w:p>
        </w:tc>
        <w:tc>
          <w:tcPr>
            <w:tcW w:type="dxa" w:w="2880"/>
          </w:tcPr>
          <w:p>
            <w:r>
              <w:t>10% complete</w:t>
            </w:r>
          </w:p>
        </w:tc>
        <w:tc>
          <w:tcPr>
            <w:tcW w:type="dxa" w:w="2880"/>
          </w:tcPr>
          <w:p>
            <w:r>
              <w:t>No scenario is currently confirmed eligible; do not calculate or claim a primary paired effect yet.</w:t>
            </w:r>
          </w:p>
        </w:tc>
      </w:tr>
      <w:tr>
        <w:tc>
          <w:tcPr>
            <w:tcW w:type="dxa" w:w="2880"/>
          </w:tcPr>
          <w:p>
            <w:r>
              <w:t>Report, QA and submission packaging</w:t>
            </w:r>
          </w:p>
        </w:tc>
        <w:tc>
          <w:tcPr>
            <w:tcW w:type="dxa" w:w="2880"/>
          </w:tcPr>
          <w:p>
            <w:r>
              <w:t>85% complete</w:t>
            </w:r>
          </w:p>
        </w:tc>
        <w:tc>
          <w:tcPr>
            <w:tcW w:type="dxa" w:w="2880"/>
          </w:tcPr>
          <w:p>
            <w:r>
              <w:t>Report, workbook, QA log and supporting documents are assembled; results may need updating after provenance checks.</w:t>
            </w:r>
          </w:p>
        </w:tc>
      </w:tr>
    </w:tbl>
    <w:p>
      <w:pPr>
        <w:pStyle w:val="Heading1"/>
      </w:pPr>
      <w:r>
        <w:t>Remaining work in order</w:t>
      </w:r>
    </w:p>
    <w:p>
      <w:pPr>
        <w:pStyle w:val="ListNumber"/>
      </w:pPr>
      <w:r>
        <w:rPr>
          <w:b/>
        </w:rPr>
        <w:t xml:space="preserve">1. Freeze and inventory original records. </w:t>
      </w:r>
      <w:r>
        <w:t>For each scenario, preserve the exact source evidence, task prompt, initial output, revision prompt, revised output and correction log. Record file/chat references; do not reconstruct missing items.</w:t>
      </w:r>
    </w:p>
    <w:p>
      <w:pPr>
        <w:pStyle w:val="ListNumber"/>
      </w:pPr>
      <w:r>
        <w:rPr>
          <w:b/>
        </w:rPr>
        <w:t xml:space="preserve">2. Verify eligibility. </w:t>
      </w:r>
      <w:r>
        <w:t>Check that A and B initial tasks use aligned evidence and requested outputs, and that B has a traceable initial response followed by revision. Keep unknown metadata marked unknown.</w:t>
      </w:r>
    </w:p>
    <w:p>
      <w:pPr>
        <w:pStyle w:val="ListNumber"/>
      </w:pPr>
      <w:r>
        <w:rPr>
          <w:b/>
        </w:rPr>
        <w:t xml:space="preserve">3. Decide scenario status. </w:t>
      </w:r>
      <w:r>
        <w:t>Mark each scenario eligible, pending or not eligible using the pre-defined gate. HG001 needs B-initial provenance; HG002 needs exact prompt/source alignment and its prior-context deviation documented; HG003–HG006 need record-level prompt/evidence/provenance checks.</w:t>
      </w:r>
    </w:p>
    <w:p>
      <w:pPr>
        <w:pStyle w:val="ListNumber"/>
      </w:pPr>
      <w:r>
        <w:rPr>
          <w:b/>
        </w:rPr>
        <w:t xml:space="preserve">4. Re-score only eligible records. </w:t>
      </w:r>
      <w:r>
        <w:t>Apply the 0–2 rubric consistently. Keep correction success N/A where no material initial error was identified. Keep the single-reviewer limitation explicit.</w:t>
      </w:r>
    </w:p>
    <w:p>
      <w:pPr>
        <w:pStyle w:val="ListNumber"/>
      </w:pPr>
      <w:r>
        <w:rPr>
          <w:b/>
        </w:rPr>
        <w:t xml:space="preserve">5. Run descriptive analysis. </w:t>
      </w:r>
      <w:r>
        <w:t>Compare A initial with B initial only for eligible pairs; separately compare B initial with B revised. Keep rubric dimensions separate and avoid inferential or causal claims.</w:t>
      </w:r>
    </w:p>
    <w:p>
      <w:pPr>
        <w:pStyle w:val="ListNumber"/>
      </w:pPr>
      <w:r>
        <w:rPr>
          <w:b/>
        </w:rPr>
        <w:t xml:space="preserve">6. Update report and package. </w:t>
      </w:r>
      <w:r>
        <w:t>Revise results, eligibility table, limitations, workbook, QA log and ZIP. Reopen files and test ZIP integrity before sharing.</w:t>
      </w:r>
    </w:p>
    <w:p>
      <w:pPr>
        <w:pStyle w:val="Heading1"/>
      </w:pPr>
      <w:r>
        <w:t>What is already done</w:t>
      </w:r>
    </w:p>
    <w:p>
      <w:pPr>
        <w:pStyle w:val="ListBullet"/>
      </w:pPr>
      <w:r>
        <w:t>Research question and fictional-task scope defined.</w:t>
      </w:r>
    </w:p>
    <w:p>
      <w:pPr>
        <w:pStyle w:val="ListBullet"/>
      </w:pPr>
      <w:r>
        <w:t>Six scenario evidence sets and the 0–2 rubric documented.</w:t>
      </w:r>
    </w:p>
    <w:p>
      <w:pPr>
        <w:pStyle w:val="ListBullet"/>
      </w:pPr>
      <w:r>
        <w:t>Provisional scenario-level findings and key numerical calculations recorded.</w:t>
      </w:r>
    </w:p>
    <w:p>
      <w:pPr>
        <w:pStyle w:val="ListBullet"/>
      </w:pPr>
      <w:r>
        <w:t>Provenance recovery pack and decision rules prepared.</w:t>
      </w:r>
    </w:p>
    <w:p>
      <w:pPr>
        <w:pStyle w:val="ListBullet"/>
      </w:pPr>
      <w:r>
        <w:t>Exploratory report, consolidated workbook, QA log and submission ZIP created.</w:t>
      </w:r>
    </w:p>
    <w:p>
      <w:pPr>
        <w:pStyle w:val="Heading1"/>
      </w:pPr>
      <w:r>
        <w:t>What must not be claimed yet</w:t>
      </w:r>
    </w:p>
    <w:p>
      <w:r>
        <w:t>No scenario is currently confirmed eligible for the primary paired Condition A-versus-Condition B comparison. The current provisional HG003–HG006 scores are at the ceiling and show no measured score change; they do not establish that revision is ineffective or that outputs are error-free. No independent second-reviewer assessment has been performed.</w:t>
      </w:r>
    </w:p>
    <w:p>
      <w:pPr>
        <w:pStyle w:val="Heading1"/>
      </w:pPr>
      <w:r>
        <w:t>Completion estimate caveat</w:t>
      </w:r>
    </w:p>
    <w:p>
      <w:r>
        <w:t>The 60% estimate reflects project readiness across protocol, documentation, data checks and analysis—not a claim that 60% of scientific evidence has been validated. If original prompts or outputs cannot be recovered, the study may need to be reported as a limited descriptive pilot rather than a clean paired A/B comparison.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