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Human–AI Interaction in Healthcare Governance</w:t>
      </w:r>
    </w:p>
    <w:p>
      <w:pPr>
        <w:jc w:val="center"/>
      </w:pPr>
      <w:r>
        <w:rPr>
          <w:b/>
          <w:sz w:val="24"/>
        </w:rPr>
        <w:t>Final Exploratory Pilot Report: Evidence Fidelity, Error Detection and Revision</w:t>
      </w:r>
    </w:p>
    <w:p>
      <w:pPr>
        <w:jc w:val="center"/>
      </w:pPr>
      <w:r>
        <w:rPr>
          <w:i/>
        </w:rPr>
        <w:t>Fictional governance tasks | Report date: 21 October 2026</w:t>
      </w:r>
    </w:p>
    <w:p>
      <w:pPr>
        <w:pStyle w:val="Heading1"/>
      </w:pPr>
      <w:r>
        <w:t>Executive summary</w:t>
      </w:r>
    </w:p>
    <w:p>
      <w:r>
        <w:t>This report documents an exploratory pilot using six fictional healthcare-governance scenarios (HG001–HG006). The research question asks whether structured evidence-checking and revision improves responses relative to a one-shot response. The current records do not support a clean primary Condition A-versus-Condition B comparison: exact prompt/evidence alignment and run metadata are not verified for any scenario, and specific provenance issues remain for HG001 and HG002. For HG003–HG006, provisional single-assistant desk assessments gave Condition A initial, Condition B initial and Condition B revised outputs 2/2 on accuracy, evidence fidelity, completeness and traceability, with no material unsupported factual claims identified in that desk review. These ceiling-level scores show no measured score improvement; they do not establish that the workflow is ineffective or that outputs are error-free. The pilot should be reported as exploratory descriptive work, not validated evidence of improved factual accuracy, safety or clinical performance.</w:t>
      </w:r>
    </w:p>
    <w:p>
      <w:pPr>
        <w:pStyle w:val="Heading1"/>
      </w:pPr>
      <w:r>
        <w:t>1. Aim and research question</w:t>
      </w:r>
    </w:p>
    <w:p>
      <w:r>
        <w:t>Aim: examine evidence fidelity, error detection and accountability in AI responses to fictional governance tasks, and explore what changes after structured evidence-checking and revision.</w:t>
      </w:r>
    </w:p>
    <w:p>
      <w:r>
        <w:t>Research question: Does structured evidence-checking and revision improve AI-generated responses to fictional healthcare-governance tasks compared with a one-shot response? This is not clinical validation and does not study real healthcare workers, real patients or operational clinical decisions.</w:t>
      </w:r>
    </w:p>
    <w:p>
      <w:pPr>
        <w:pStyle w:val="Heading1"/>
      </w:pPr>
      <w:r>
        <w:t>2. Design and assessment method</w:t>
      </w:r>
    </w:p>
    <w:p>
      <w:r>
        <w:t>Six fictional scenarios were considered: HG001 training completion; HG002 equipment check; HG003 risk register; HG004 audit sampling; HG005 document control; and HG006 complaints trend. Condition A denotes a one-shot initial response. Condition B denotes an initial response followed by an evidence-checking review and revised response.</w:t>
      </w:r>
    </w:p>
    <w:p>
      <w:r>
        <w:t>The rubric uses four ordinal dimensions scored 0–2: accuracy, evidence fidelity, completeness and traceability. Correction success is considered only for a revised response and should be recorded as not applicable when no material initial error was identified. Distinct unsupported factual claims and error types are recorded separately. Missing scores are left blank rather than imputed as zero.</w:t>
      </w:r>
    </w:p>
    <w:p>
      <w:r>
        <w:t>Scores in the current working records are provisional desk assessments made by the same assistant. They are not independent ratings; inter-rater reliability was not assessed.</w:t>
      </w:r>
    </w:p>
    <w:p>
      <w:pPr>
        <w:pStyle w:val="Heading1"/>
      </w:pPr>
      <w:r>
        <w:t>3. Data eligibility and provenance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Scenario</w:t>
            </w:r>
          </w:p>
        </w:tc>
        <w:tc>
          <w:tcPr>
            <w:tcW w:type="dxa" w:w="3312"/>
          </w:tcPr>
          <w:p>
            <w:r>
              <w:t>Current decision</w:t>
            </w:r>
          </w:p>
        </w:tc>
        <w:tc>
          <w:tcPr>
            <w:tcW w:type="dxa" w:w="3312"/>
          </w:tcPr>
          <w:p>
            <w:r>
              <w:t>Reason / limitation</w:t>
            </w:r>
          </w:p>
        </w:tc>
      </w:tr>
      <w:tr>
        <w:tc>
          <w:tcPr>
            <w:tcW w:type="dxa" w:w="3312"/>
          </w:tcPr>
          <w:p>
            <w:r>
              <w:t>HG001 — Training completion</w:t>
            </w:r>
          </w:p>
        </w:tc>
        <w:tc>
          <w:tcPr>
            <w:tcW w:type="dxa" w:w="3312"/>
          </w:tcPr>
          <w:p>
            <w:r>
              <w:t>Exclude from primary paired comparison for now</w:t>
            </w:r>
          </w:p>
        </w:tc>
        <w:tc>
          <w:tcPr>
            <w:tcW w:type="dxa" w:w="3312"/>
          </w:tcPr>
          <w:p>
            <w:r>
              <w:t>Condition B initial-response provenance is unresolved; independence cannot be established.</w:t>
            </w:r>
          </w:p>
        </w:tc>
      </w:tr>
      <w:tr>
        <w:tc>
          <w:tcPr>
            <w:tcW w:type="dxa" w:w="3312"/>
          </w:tcPr>
          <w:p>
            <w:r>
              <w:t>HG002 — Equipment check</w:t>
            </w:r>
          </w:p>
        </w:tc>
        <w:tc>
          <w:tcPr>
            <w:tcW w:type="dxa" w:w="3312"/>
          </w:tcPr>
          <w:p>
            <w:r>
              <w:t>Exclude from primary paired comparison for now</w:t>
            </w:r>
          </w:p>
        </w:tc>
        <w:tc>
          <w:tcPr>
            <w:tcW w:type="dxa" w:w="3312"/>
          </w:tcPr>
          <w:p>
            <w:r>
              <w:t>An earlier B record duplicated A and is excluded. Fresh B record retained, but exact A/B prompt/evidence alignment and run metadata remain unverified.</w:t>
            </w:r>
          </w:p>
        </w:tc>
      </w:tr>
      <w:tr>
        <w:tc>
          <w:tcPr>
            <w:tcW w:type="dxa" w:w="3312"/>
          </w:tcPr>
          <w:p>
            <w:r>
              <w:t>HG003 — Risk register</w:t>
            </w:r>
          </w:p>
        </w:tc>
        <w:tc>
          <w:tcPr>
            <w:tcW w:type="dxa" w:w="3312"/>
          </w:tcPr>
          <w:p>
            <w:r>
              <w:t>Descriptive findings only; eligibility unconfirmed</w:t>
            </w:r>
          </w:p>
        </w:tc>
        <w:tc>
          <w:tcPr>
            <w:tcW w:type="dxa" w:w="3312"/>
          </w:tcPr>
          <w:p>
            <w:r>
              <w:t>A and B records and provisional scores exist, but exact prompt/evidence alignment and run metadata are unverified.</w:t>
            </w:r>
          </w:p>
        </w:tc>
      </w:tr>
      <w:tr>
        <w:tc>
          <w:tcPr>
            <w:tcW w:type="dxa" w:w="3312"/>
          </w:tcPr>
          <w:p>
            <w:r>
              <w:t>HG004 — Audit sampling</w:t>
            </w:r>
          </w:p>
        </w:tc>
        <w:tc>
          <w:tcPr>
            <w:tcW w:type="dxa" w:w="3312"/>
          </w:tcPr>
          <w:p>
            <w:r>
              <w:t>Descriptive findings only; eligibility unconfirmed</w:t>
            </w:r>
          </w:p>
        </w:tc>
        <w:tc>
          <w:tcPr>
            <w:tcW w:type="dxa" w:w="3312"/>
          </w:tcPr>
          <w:p>
            <w:r>
              <w:t>A and B records and provisional scores exist, but exact prompt/evidence alignment and run metadata are unverified.</w:t>
            </w:r>
          </w:p>
        </w:tc>
      </w:tr>
      <w:tr>
        <w:tc>
          <w:tcPr>
            <w:tcW w:type="dxa" w:w="3312"/>
          </w:tcPr>
          <w:p>
            <w:r>
              <w:t>HG005 — Document control</w:t>
            </w:r>
          </w:p>
        </w:tc>
        <w:tc>
          <w:tcPr>
            <w:tcW w:type="dxa" w:w="3312"/>
          </w:tcPr>
          <w:p>
            <w:r>
              <w:t>Descriptive findings only; eligibility unconfirmed</w:t>
            </w:r>
          </w:p>
        </w:tc>
        <w:tc>
          <w:tcPr>
            <w:tcW w:type="dxa" w:w="3312"/>
          </w:tcPr>
          <w:p>
            <w:r>
              <w:t>A and B records and provisional scores exist, but exact prompt/evidence alignment and run metadata are unverified.</w:t>
            </w:r>
          </w:p>
        </w:tc>
      </w:tr>
      <w:tr>
        <w:tc>
          <w:tcPr>
            <w:tcW w:type="dxa" w:w="3312"/>
          </w:tcPr>
          <w:p>
            <w:r>
              <w:t>HG006 — Complaints trend</w:t>
            </w:r>
          </w:p>
        </w:tc>
        <w:tc>
          <w:tcPr>
            <w:tcW w:type="dxa" w:w="3312"/>
          </w:tcPr>
          <w:p>
            <w:r>
              <w:t>Descriptive findings only; eligibility unconfirmed</w:t>
            </w:r>
          </w:p>
        </w:tc>
        <w:tc>
          <w:tcPr>
            <w:tcW w:type="dxa" w:w="3312"/>
          </w:tcPr>
          <w:p>
            <w:r>
              <w:t>A and B records and provisional scores exist, but exact prompt/evidence alignment and run metadata are unverified.</w:t>
            </w:r>
          </w:p>
        </w:tc>
      </w:tr>
    </w:tbl>
    <w:p>
      <w:r>
        <w:t>Overall eligibility decision: no scenario is currently confirmed eligible for the primary paired A-versus-B analysis. Missing prompts or metadata are treated as unavailable, not reconstructed from memory.</w:t>
      </w:r>
    </w:p>
    <w:p>
      <w:pPr>
        <w:pStyle w:val="Heading1"/>
      </w:pPr>
      <w:r>
        <w:t>4. Results</w:t>
      </w:r>
    </w:p>
    <w:p>
      <w:pPr>
        <w:pStyle w:val="Heading2"/>
      </w:pPr>
      <w:r>
        <w:t>4.1 Provisional rubric pattern for HG003–HG006</w:t>
      </w:r>
    </w:p>
    <w:p>
      <w:r>
        <w:t>For HG003–HG006, the working dataset records provisional scores of 2/2 for Condition A initial, Condition B initial and Condition B revised outputs on each of the four core dimensions. The desk review identified zero material unsupported factual claims in these outputs. Because the same assistant assigned the scores and all scores are at the ceiling, this is a provisional descriptive pattern only. It does not demonstrate measurable improvement from revision, and zero claims identified is not proof that no unsupported claims exist.</w:t>
      </w:r>
    </w:p>
    <w:p>
      <w:r>
        <w:t>The records describe revisions mainly as improvements in organisation, presentation and explicit uncertainty. The available scores do not show a change in the four core rubric dimensions between B initial and B revised.</w:t>
      </w:r>
    </w:p>
    <w:p>
      <w:pPr>
        <w:pStyle w:val="Heading2"/>
      </w:pPr>
      <w:r>
        <w:t>4.2 Scenario-level evidence notes</w:t>
      </w:r>
    </w:p>
    <w:p>
      <w:r>
        <w:rPr>
          <w:b/>
        </w:rPr>
        <w:t xml:space="preserve">HG001 — Training completion: </w:t>
      </w:r>
      <w:r>
        <w:t>The one-shot report records 32 of 40 staff complete (80%), a target of at least 90%, and eight incomplete. Reasons for incomplete training are not recorded. Condition B initial provenance prevents a clean paired comparison.</w:t>
      </w:r>
    </w:p>
    <w:p>
      <w:r>
        <w:rPr>
          <w:b/>
        </w:rPr>
        <w:t xml:space="preserve">HG002 — Equipment check: </w:t>
      </w:r>
      <w:r>
        <w:t>The check was due 4 May and completed 6 May, a two-calendar-day difference by date. Reason and harm are unknown. The canonical scenario includes discovery during a routine review; exact A/B prompt alignment and run metadata are unverified. The older B duplicate remains excluded.</w:t>
      </w:r>
    </w:p>
    <w:p>
      <w:r>
        <w:rPr>
          <w:b/>
        </w:rPr>
        <w:t xml:space="preserve">HG003 — Risk register: </w:t>
      </w:r>
      <w:r>
        <w:t>The source records incomplete handover information, a template and monthly spot checks as listed controls, a blank action field, and no risk scores or incident counts. The evidence does not establish control effectiveness, risk severity, or whether actions exist elsewhere.</w:t>
      </w:r>
    </w:p>
    <w:p>
      <w:r>
        <w:rPr>
          <w:b/>
        </w:rPr>
        <w:t xml:space="preserve">HG004 — Audit sampling: </w:t>
      </w:r>
      <w:r>
        <w:t>Sixteen of 20 sampled records were compliant (80% sample compliance); four of 20 had exceptions (20% sample exceptions). Sampling method and representativeness are unknown, so the result cannot be generalised to the full record population.</w:t>
      </w:r>
    </w:p>
    <w:p>
      <w:r>
        <w:rPr>
          <w:b/>
        </w:rPr>
        <w:t xml:space="preserve">HG005 — Document control: </w:t>
      </w:r>
      <w:r>
        <w:t>An action due 15 August was still marked “in progress” on 22 August, a seven-calendar-day difference. Reason, impact and eventual status are unknown.</w:t>
      </w:r>
    </w:p>
    <w:p>
      <w:r>
        <w:rPr>
          <w:b/>
        </w:rPr>
        <w:t xml:space="preserve">HG006 — Complaints trend: </w:t>
      </w:r>
      <w:r>
        <w:t>Recorded counts are January 12, February 9 and March 11. January to February changed by −25%; February to March by +22.22%; January to March by −8.33%. Service volume, severity, category and reporting-change context are absent, so causes, complaint rates and service quality cannot be inferred.</w:t>
      </w:r>
    </w:p>
    <w:p>
      <w:pPr>
        <w:pStyle w:val="Heading1"/>
      </w:pPr>
      <w:r>
        <w:t>5. Interpretation</w:t>
      </w:r>
    </w:p>
    <w:p>
      <w:r>
        <w:t>The pilot demonstrates a workable way to document source facts, uncertainty, provenance issues and revision notes across fictional tasks. It does not currently establish that structured revision improves factual accuracy relative to one-shot generation. The primary paired comparison is not justified until exact prompts and source evidence, independence/provenance of initial outputs, and model/version/settings where available have been checked. For HG003–HG006, maximum provisional scores create a ceiling effect that limits the ability of this rubric to register improvement. Clearer revision may be useful for presentation or explicit uncertainty, but those observations must be separated from factual correction.</w:t>
      </w:r>
    </w:p>
    <w:p>
      <w:pPr>
        <w:pStyle w:val="Heading1"/>
      </w:pPr>
      <w:r>
        <w:t>6. Limitations</w:t>
      </w:r>
    </w:p>
    <w:p>
      <w:pPr>
        <w:pStyle w:val="ListBullet"/>
      </w:pPr>
      <w:r>
        <w:t>Small pilot comprising six fictional scenarios; findings are not generalisable to real healthcare operations or other domains.</w:t>
      </w:r>
    </w:p>
    <w:p>
      <w:pPr>
        <w:pStyle w:val="ListBullet"/>
      </w:pPr>
      <w:r>
        <w:t>No scenario is confirmed eligible for the primary A-versus-B comparison because prompt/evidence alignment and run metadata remain unresolved.</w:t>
      </w:r>
    </w:p>
    <w:p>
      <w:pPr>
        <w:pStyle w:val="ListBullet"/>
      </w:pPr>
      <w:r>
        <w:t>HG001 Condition B initial-response provenance is unresolved.</w:t>
      </w:r>
    </w:p>
    <w:p>
      <w:pPr>
        <w:pStyle w:val="ListBullet"/>
      </w:pPr>
      <w:r>
        <w:t>HG002 contains an excluded duplicated B record and unresolved alignment/context metadata for the fresh B run.</w:t>
      </w:r>
    </w:p>
    <w:p>
      <w:pPr>
        <w:pStyle w:val="ListBullet"/>
      </w:pPr>
      <w:r>
        <w:t>Scores are provisional assessments by the same assistant, not independent reviewer ratings; inter-rater reliability was not assessed.</w:t>
      </w:r>
    </w:p>
    <w:p>
      <w:pPr>
        <w:pStyle w:val="ListBullet"/>
      </w:pPr>
      <w:r>
        <w:t>Ceiling-level scores for HG003–HG006 limit sensitivity to improvement.</w:t>
      </w:r>
    </w:p>
    <w:p>
      <w:pPr>
        <w:pStyle w:val="ListBullet"/>
      </w:pPr>
      <w:r>
        <w:t>Unsupported-claim counts are provisional desk-review detection counts, not proof of absence.</w:t>
      </w:r>
    </w:p>
    <w:p>
      <w:pPr>
        <w:pStyle w:val="ListBullet"/>
      </w:pPr>
      <w:r>
        <w:t>No inferential tests were conducted; no statistical significance or causal effect is claimed.</w:t>
      </w:r>
    </w:p>
    <w:p>
      <w:pPr>
        <w:pStyle w:val="ListBullet"/>
      </w:pPr>
      <w:r>
        <w:t>This is not clinical validation, safety validation, or an evaluation of real healthcare workers.</w:t>
      </w:r>
    </w:p>
    <w:p>
      <w:pPr>
        <w:pStyle w:val="Heading1"/>
      </w:pPr>
      <w:r>
        <w:t>7. Conclusion</w:t>
      </w:r>
    </w:p>
    <w:p>
      <w:r>
        <w:t>This exploratory pilot provides a cautious description of six fictional governance tasks and the available response/revision records. The provisional review of HG003–HG006 found no score differences across the four core rubric dimensions and no material unsupported factual claims identified. These observations are limited by ceiling effects, single-assistant scoring and unresolved provenance and prompt-alignment checks. The study therefore cannot conclude that structured revision improves factual accuracy. Its defensible contribution is methodological: it records how source boundaries, uncertainty, duplicates and provenance gaps should be handled before making workflow-effect claims.</w:t>
      </w:r>
    </w:p>
    <w:p>
      <w:pPr>
        <w:pStyle w:val="Heading1"/>
      </w:pPr>
      <w:r>
        <w:t>8. Recommended next steps</w:t>
      </w:r>
    </w:p>
    <w:p>
      <w:pPr>
        <w:pStyle w:val="ListNumber"/>
      </w:pPr>
      <w:r>
        <w:t>Freeze and retain exact scenario evidence, task prompt and complete response for each run where those materials still exist.</w:t>
      </w:r>
    </w:p>
    <w:p>
      <w:pPr>
        <w:pStyle w:val="ListNumber"/>
      </w:pPr>
      <w:r>
        <w:t>Record model/version, settings, date/time and fresh-chat/context information when available; mark irretrievable metadata as unavailable.</w:t>
      </w:r>
    </w:p>
    <w:p>
      <w:pPr>
        <w:pStyle w:val="ListNumber"/>
      </w:pPr>
      <w:r>
        <w:t>Keep the HG002 duplicate excluded and retain it only in the audit trail.</w:t>
      </w:r>
    </w:p>
    <w:p>
      <w:pPr>
        <w:pStyle w:val="ListNumber"/>
      </w:pPr>
      <w:r>
        <w:t>Apply the same rubric consistently to available outputs and keep the single-reviewer status explicit.</w:t>
      </w:r>
    </w:p>
    <w:p>
      <w:pPr>
        <w:pStyle w:val="ListNumber"/>
      </w:pPr>
      <w:r>
        <w:t>Report B initial-to-revised observations separately from A-versus-B comparisons.</w:t>
      </w:r>
    </w:p>
    <w:p>
      <w:pPr>
        <w:pStyle w:val="ListNumber"/>
      </w:pPr>
      <w:r>
        <w:t>If original prompt/provenance gaps cannot be resolved, report this as a single-reviewer exploratory pilot and state that a primary A-versus-B effect was not estimable from available records.</w:t>
      </w:r>
    </w:p>
    <w:p>
      <w:pPr>
        <w:pStyle w:val="Heading1"/>
      </w:pPr>
      <w:r>
        <w:t>Reporting statement</w:t>
      </w:r>
    </w:p>
    <w:p>
      <w:r>
        <w:t>Findings should be described as provisional and descriptive. Do not claim that structured revision improved factual accuracy, that the model is safe, or that results apply to real healthcare settings. No missing scores, prompts, model metadata or independent ratings have been invented.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