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Literature Review: Evidence Fidelity, Revision, and Evaluation of LLM Outputs</w:t>
      </w:r>
    </w:p>
    <w:p>
      <w:pPr>
        <w:jc w:val="center"/>
      </w:pPr>
      <w:r>
        <w:rPr>
          <w:i/>
        </w:rPr>
        <w:t>Source-grounded working draft | 21 October 2026</w:t>
      </w:r>
    </w:p>
    <w:p>
      <w:pPr>
        <w:pStyle w:val="Heading1"/>
      </w:pPr>
      <w:r>
        <w:t>Scope and status</w:t>
      </w:r>
    </w:p>
    <w:p>
      <w:r>
        <w:t>This is a focused, non-systematic literature review based on the sources retrieved for this draft. It is not a complete systematic review: the searches were not run across every database in the prior plan, screening was not independently duplicated, and a full search log and deduplication process have not been completed. The citations below are linked to the publisher or repository records found during the search. Check each source and the target venue's citation style before submission.</w:t>
      </w:r>
    </w:p>
    <w:p>
      <w:pPr>
        <w:pStyle w:val="Heading1"/>
      </w:pPr>
      <w:r>
        <w:t>1. Evaluating model outputs requires more than one score</w:t>
      </w:r>
    </w:p>
    <w:p>
      <w:r>
        <w:t>Evaluation of large language models (LLMs) in healthcare has often emphasised answer accuracy, but evaluation dimensions also include factuality, comprehensiveness, robustness, calibration and uncertainty, fairness, and deployment considerations. A systematic review of 519 healthcare LLM evaluation studies published from January 2022 to February 2024 reported that 95.4% used accuracy as an evaluation dimension, while fairness, bias, and toxicity were assessed in 15.8%, deployment considerations in 4.6%, and calibration and uncertainty in 1.2%. Only 5% used real patient-care data. These findings suggest that evaluation designs can be narrow relative to the range of properties that matter in practice; they do not directly establish how well a fictional governance-task rubric performs. (Bedi et al., 2025).</w:t>
      </w:r>
    </w:p>
    <w:p>
      <w:r>
        <w:t>For the present pilot, this supports treating accuracy, evidence fidelity, completeness, and traceability as distinct rubric dimensions rather than collapsing them into a single unqualified notion of quality. It does not validate the pilot's particular four-dimension rubric, and its provisional ratings should not be interpreted as a validated safety or trustworthiness score.</w:t>
      </w:r>
    </w:p>
    <w:p>
      <w:pPr>
        <w:pStyle w:val="Heading1"/>
      </w:pPr>
      <w:r>
        <w:t>2. Revision and self-correction are empirical questions</w:t>
      </w:r>
    </w:p>
    <w:p>
      <w:r>
        <w:t>The literature does not justify assuming that a second model-generated pass necessarily corrects factual errors. In a study of radiology-report simplification, Yang, Cherian, and Vucetic evaluated chain-of-thought and self-correction prompting and used radiologists to assess factual correctness and laypeople to assess simplicity and comprehension. The authors reported that self-correction prompting was effective for producing high-quality simplifications in that task. This is relevant as an example of a revision workflow being evaluated with task-specific human review, but the task, data, and outcome do not match the fictional governance scenarios in this pilot. The result therefore cannot be transferred as proof that revision improves evidence fidelity in governance responses. (Yang et al., 2024).</w:t>
      </w:r>
    </w:p>
    <w:p>
      <w:r>
        <w:t>A separate health fact-checking study evaluated alternative prompting strategies, including retrieval-augmented variations, on two public-health fact-checking datasets comprising 10,212 claims. Its design considered accuracy, argument elements, common errors, and cost-effectiveness. This provides a related example of comparing prompt strategies against explicit outcome measures, but health fact-checking with datasets is not equivalent to a bounded-evidence governance exercise. (Scientific evidence and specific context, 2024; verify full author metadata before formal citation).</w:t>
      </w:r>
    </w:p>
    <w:p>
      <w:r>
        <w:t>Accordingly, the present pilot's results should be described narrowly. For HG003–HG006, the working records contain ceiling-level provisional scores for the initial and revised outputs, with no score change recorded. This does not demonstrate either a benefit or absence of benefit from revision: the ratings were made by the same assistant, the score range leaves little room for improvement, and provenance and prompt/evidence alignment remain unverified.</w:t>
      </w:r>
    </w:p>
    <w:p>
      <w:pPr>
        <w:pStyle w:val="Heading1"/>
      </w:pPr>
      <w:r>
        <w:t>3. Human evaluation, evidence grounding, and contextual limits</w:t>
      </w:r>
    </w:p>
    <w:p>
      <w:r>
        <w:t>Research evaluating medical question answering has used detailed human evaluation in addition to benchmark scores. The Med-PaLM and Med-PaLM 2 research describes clinician and layperson assessment of long-form responses and adversarial datasets, while also acknowledging that benchmark performance has limits as a measure of practical utility. This supports distinguishing benchmark or rubric performance from readiness for real-world use. However, those studies concern medical question answering and do not validate the current pilot's scoring procedure. (Singhal et al., 2023; Singhal et al., 2025—verify exact publication year and bibliographic details for the version intended before submission).</w:t>
      </w:r>
    </w:p>
    <w:p>
      <w:r>
        <w:t>A study in Nature Medicine evaluated LLM limitations in simulated clinical decision-making using 2,400 real patient cases and reported problems with diagnosis, guideline adherence, laboratory interpretation, instruction following, and sensitivity to the amount and order of information. The relevance here is methodological: performance can be sensitive to context and instruction conditions, which strengthens the case for preserving exact prompts and source material. The clinical results must not be presented as findings from this non-clinical fictional-scenario pilot. (Makowski et al., 2024).</w:t>
      </w:r>
    </w:p>
    <w:p>
      <w:pPr>
        <w:pStyle w:val="Heading1"/>
      </w:pPr>
      <w:r>
        <w:t>4. Implications for the current pilot</w:t>
      </w:r>
    </w:p>
    <w:p>
      <w:pPr>
        <w:pStyle w:val="ListBullet"/>
      </w:pPr>
      <w:r>
        <w:t>Keep the four rubric dimensions separate and report their operational definitions; do not describe the total as a validated safety measure.</w:t>
      </w:r>
    </w:p>
    <w:p>
      <w:pPr>
        <w:pStyle w:val="ListBullet"/>
      </w:pPr>
      <w:r>
        <w:t>Treat structured revision as an intervention to test, not as a presumed correction mechanism.</w:t>
      </w:r>
    </w:p>
    <w:p>
      <w:pPr>
        <w:pStyle w:val="ListBullet"/>
      </w:pPr>
      <w:r>
        <w:t>Require exact prompt, evidence, complete output, and available model/run metadata before treating records as eligible for paired comparison.</w:t>
      </w:r>
    </w:p>
    <w:p>
      <w:pPr>
        <w:pStyle w:val="ListBullet"/>
      </w:pPr>
      <w:r>
        <w:t>Keep provisional same-assistant assessments distinct from independent human ratings.</w:t>
      </w:r>
    </w:p>
    <w:p>
      <w:pPr>
        <w:pStyle w:val="ListBullet"/>
      </w:pPr>
      <w:r>
        <w:t>Report zero unsupported claims only as 'none identified in the provisional desk review', not as proof that the outputs are error-free.</w:t>
      </w:r>
    </w:p>
    <w:p>
      <w:pPr>
        <w:pStyle w:val="ListBullet"/>
      </w:pPr>
      <w:r>
        <w:t>Do not infer clinical safety, patient outcomes, or operational effectiveness from fictional governance tasks.</w:t>
      </w:r>
    </w:p>
    <w:p>
      <w:pPr>
        <w:pStyle w:val="Heading1"/>
      </w:pPr>
      <w:r>
        <w:t>5. References identified in this search</w:t>
      </w:r>
    </w:p>
    <w:p>
      <w:pPr>
        <w:pStyle w:val="ListNumber"/>
      </w:pPr>
      <w:r>
        <w:t>Bedi S, Liu Y, Orr-Ewing L, et al. Testing and Evaluation of Health Care Applications of Large Language Models: A Systematic Review. JAMA. 2025;333(4):319–328. doi:10.1001/jama.2024.21700.</w:t>
      </w:r>
    </w:p>
    <w:p>
      <w:r>
        <w:t>Publisher record: https://jamanetwork.com/journals/jama/fullarticle/2825147</w:t>
      </w:r>
    </w:p>
    <w:p>
      <w:pPr>
        <w:pStyle w:val="ListNumber"/>
      </w:pPr>
      <w:r>
        <w:t>Yang Z, Cherian S, Vucetic S. Two-Pronged Human Evaluation of ChatGPT Self-Correction in Radiology Report Simplification. Findings of the Association for Computational Linguistics: ACL 2024.</w:t>
      </w:r>
    </w:p>
    <w:p>
      <w:r>
        <w:t>ACL Anthology record: https://aclanthology.org/2024.findings-acl.279/</w:t>
      </w:r>
    </w:p>
    <w:p>
      <w:pPr>
        <w:pStyle w:val="ListNumber"/>
      </w:pPr>
      <w:r>
        <w:t>Makowski M, et al. Evaluation and mitigation of the limitations of large language models in clinical decision-making. Nature Medicine. 2024;30:2613–2622. doi:10.1038/s41591-024-03097-1.</w:t>
      </w:r>
    </w:p>
    <w:p>
      <w:r>
        <w:t>Publisher record: https://doi.org/10.1038/s41591-024-03097-1</w:t>
      </w:r>
    </w:p>
    <w:p>
      <w:pPr>
        <w:pStyle w:val="ListNumber"/>
      </w:pPr>
      <w:r>
        <w:t>Scientific evidence and specific context: leveraging large language models for health fact-checking. Online Information Review. 2024;48(7):1488–1514. doi:10.1108/OIR-02-2024-0111.</w:t>
      </w:r>
    </w:p>
    <w:p>
      <w:r>
        <w:t>Publisher record: https://www.sciencedirect.com/org/science/article/pii/S1468452724000271</w:t>
      </w:r>
    </w:p>
    <w:p>
      <w:pPr>
        <w:pStyle w:val="ListNumber"/>
      </w:pPr>
      <w:r>
        <w:t>Singhal K, et al. Toward expert-level medical question answering with large language models. Nature Medicine. 2023;29: (confirm final volume/pages and citation details against publisher record).</w:t>
      </w:r>
    </w:p>
    <w:p>
      <w:r>
        <w:t>Publisher record: https://www.nature.com/articles/s41591-023-02552-5</w:t>
      </w:r>
    </w:p>
    <w:p>
      <w:pPr>
        <w:pStyle w:val="Heading1"/>
      </w:pPr>
      <w:r>
        <w:t>Reference verification notes</w:t>
      </w:r>
    </w:p>
    <w:p>
      <w:r>
        <w:t>The publisher or repository pages were located in a web search, but this document is not a final reference manager export. Before submission, verify author lists, final publication dates, volume/issue/pages, DOI resolution, and the exact version of each source. The fact-checking article's full author metadata was not confirmed in the retrieved record. The Singhal et al. publication details need checking against the publisher page; do not submit the provisional citation as written.</w:t>
      </w:r>
    </w:p>
    <w:p>
      <w:pPr>
        <w:pStyle w:val="Heading1"/>
      </w:pPr>
      <w:r>
        <w:t>Search record</w:t>
      </w:r>
    </w:p>
    <w:p>
      <w:r>
        <w:t>Search executed: 21 October 2026. Search concept: peer-reviewed research on LLM self-correction, factuality, evidence grounding, healthcare evaluation, and governance. One web search was used to identify candidate sources. This was not an exhaustive database search, no formal screening count was recorded, and no independent duplicate screening was performed.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