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Literature Review v2: Verified Core Sources</w:t>
      </w:r>
    </w:p>
    <w:p>
      <w:pPr>
        <w:jc w:val="center"/>
      </w:pPr>
      <w:r>
        <w:rPr>
          <w:i/>
        </w:rPr>
        <w:t>Evidence fidelity, revision, and evaluation of LLM outputs | 21 October 2026</w:t>
      </w:r>
    </w:p>
    <w:p>
      <w:pPr>
        <w:pStyle w:val="Heading1"/>
      </w:pPr>
      <w:r>
        <w:t>Status and scope</w:t>
      </w:r>
    </w:p>
    <w:p>
      <w:r>
        <w:t>This is a revised focused narrative review based on publisher/repository records verified during the current web check. It is not a systematic review: searches were limited, screening was not duplicated, and no exhaustive database search or formal evidence synthesis was performed. The literature is used for context and methodological rationale, not as evidence that the current fictional-scenario pilot demonstrates effectiveness.</w:t>
      </w:r>
    </w:p>
    <w:p>
      <w:pPr>
        <w:pStyle w:val="Heading1"/>
      </w:pPr>
      <w:r>
        <w:t>Evaluation should cover multiple dimensions</w:t>
      </w:r>
    </w:p>
    <w:p>
      <w:r>
        <w:t>Bedi and colleagues' systematic review examined 519 studies evaluating healthcare applications of large language models, published from 1 January 2022 through 19 February 2024. The review found that accuracy was the predominant evaluation dimension, while bias-related dimensions and deployment considerations were assessed less often; only 5% of included studies used real patient-care data. The authors concluded that healthcare LLM evaluation was fragmented and insufficiently standardised. This provides context for separating multiple evaluation dimensions in the present pilot. It does not validate the pilot's particular rubric or establish that its scenarios represent real healthcare deployment. citeturn0search1turn0search4</w:t>
      </w:r>
    </w:p>
    <w:p>
      <w:r>
        <w:t>The present pilot therefore records accuracy, evidence fidelity, completeness, and traceability separately. These dimensions are project-specific operational measures, not a validated scale. Their provisional 0–2 ratings should not be combined or described as a validated measure of safety, trustworthiness, or clinical readiness.</w:t>
      </w:r>
    </w:p>
    <w:p>
      <w:pPr>
        <w:pStyle w:val="Heading1"/>
      </w:pPr>
      <w:r>
        <w:t>Revision must be evaluated, not presumed effective</w:t>
      </w:r>
    </w:p>
    <w:p>
      <w:r>
        <w:t>Yang, Cherian, and Vucetic studied ChatGPT self-correction for radiology-report simplification. Their evaluation protocol used radiologists to assess factual correctness and laypeople to assess simplicity and comprehension; the authors reported that self-correction prompting produced high-quality simplifications in their task. This is a relevant example of evaluating revision with task-specific human assessment. However, radiology-report simplification differs from fictional governance tasks, so this result cannot be treated as evidence that revision improves evidence fidelity in the present pilot. citeturn0search2</w:t>
      </w:r>
    </w:p>
    <w:p>
      <w:r>
        <w:t>For HG003–HG006, the current working records show provisional ceiling-level ratings for the recorded initial and revised outputs, with no score change recorded. These ratings were made by the same assistant, and exact prompt/evidence alignment and run metadata remain unverified. Consequently, the records do not demonstrate a measurable improvement; equally, they do not establish that revision has no benefit. The ceiling effect and provenance limitations restrict interpretation.</w:t>
      </w:r>
    </w:p>
    <w:p>
      <w:pPr>
        <w:pStyle w:val="Heading1"/>
      </w:pPr>
      <w:r>
        <w:t>Prompt and context sensitivity support careful provenance</w:t>
      </w:r>
    </w:p>
    <w:p>
      <w:r>
        <w:t>Hager and colleagues evaluated LLMs in a simulated clinical decision-making setting built around 2,400 real patient cases. They reported limitations in diagnosis, guideline adherence, laboratory interpretation, instruction following, and sensitivity to the quantity and order of information. The study illustrates why model evaluation conditions and input context matter. It is clinical decision-making research, not a direct test of governance writing and not evidence of patient-safety outcomes from this pilot. citeturn0search0turn0search5</w:t>
      </w:r>
    </w:p>
    <w:p>
      <w:r>
        <w:t>For this pilot, the practical implication is procedural: preserve the exact prompt, source evidence, complete initial and revised outputs, and available model/version/settings metadata. If these cannot be verified, the record should not be treated as eligible for a primary paired comparison. Missing provenance should remain an explicit limitation rather than be reconstructed from memory.</w:t>
      </w:r>
    </w:p>
    <w:p>
      <w:pPr>
        <w:pStyle w:val="Heading1"/>
      </w:pPr>
      <w:r>
        <w:t>Implications for interpretation</w:t>
      </w:r>
    </w:p>
    <w:p>
      <w:pPr>
        <w:pStyle w:val="ListBullet"/>
      </w:pPr>
      <w:r>
        <w:t>Report each rubric dimension separately; do not describe the rubric as validated.</w:t>
      </w:r>
    </w:p>
    <w:p>
      <w:pPr>
        <w:pStyle w:val="ListBullet"/>
      </w:pPr>
      <w:r>
        <w:t>Treat revision as a hypothesis to test, not as a guaranteed correction mechanism.</w:t>
      </w:r>
    </w:p>
    <w:p>
      <w:pPr>
        <w:pStyle w:val="ListBullet"/>
      </w:pPr>
      <w:r>
        <w:t>Distinguish provisional same-assistant desk ratings from independent human review.</w:t>
      </w:r>
    </w:p>
    <w:p>
      <w:pPr>
        <w:pStyle w:val="ListBullet"/>
      </w:pPr>
      <w:r>
        <w:t>Phrase the current finding as 'no material unsupported factual claims identified in the provisional desk review', not 'the outputs were error-free'.</w:t>
      </w:r>
    </w:p>
    <w:p>
      <w:pPr>
        <w:pStyle w:val="ListBullet"/>
      </w:pPr>
      <w:r>
        <w:t>Do not infer clinical safety, patient outcomes, or real-world operational effectiveness from fictional scenarios.</w:t>
      </w:r>
    </w:p>
    <w:p>
      <w:pPr>
        <w:pStyle w:val="ListBullet"/>
      </w:pPr>
      <w:r>
        <w:t>Do not estimate a primary paired A-versus-B effect until scenario eligibility and source/prompt alignment are verified.</w:t>
      </w:r>
    </w:p>
    <w:p>
      <w:pPr>
        <w:pStyle w:val="Heading1"/>
      </w:pPr>
      <w:r>
        <w:t>Verified core references</w:t>
      </w:r>
    </w:p>
    <w:p>
      <w:pPr>
        <w:pStyle w:val="ListNumber"/>
      </w:pPr>
      <w:r>
        <w:t>Bedi S, Liu Y, Orr-Ewing L, et al. Testing and Evaluation of Health Care Applications of Large Language Models: A Systematic Review. JAMA. 2025;333(4):319–328. doi:10.1001/jama.2024.21700.</w:t>
      </w:r>
    </w:p>
    <w:p>
      <w:r>
        <w:t>Verified publisher record: https://jamanetwork.com/journals/jama/fullarticle/2825147</w:t>
      </w:r>
    </w:p>
    <w:p>
      <w:pPr>
        <w:pStyle w:val="ListNumber"/>
      </w:pPr>
      <w:r>
        <w:t>Yang Z, Cherian S, Vucetic S. Two-Pronged Human Evaluation of ChatGPT Self-Correction in Radiology Report Simplification. Findings of the Association for Computational Linguistics: ACL 2024. 2024:4701–4714. doi:10.18653/v1/2024.findings-acl.279.</w:t>
      </w:r>
    </w:p>
    <w:p>
      <w:r>
        <w:t>Verified ACL Anthology record: https://aclanthology.org/2024.findings-acl.279/</w:t>
      </w:r>
    </w:p>
    <w:p>
      <w:pPr>
        <w:pStyle w:val="ListNumber"/>
      </w:pPr>
      <w:r>
        <w:t>Hager P, Jungmann F, Holland R, et al. Evaluation and mitigation of the limitations of large language models in clinical decision-making. Nature Medicine. 2024;30(9):2613–2622. doi:10.1038/s41591-024-03097-1.</w:t>
      </w:r>
    </w:p>
    <w:p>
      <w:r>
        <w:t>Verified publisher record: https://www.nature.com/articles/s41591-024-03097-1</w:t>
      </w:r>
    </w:p>
    <w:p>
      <w:pPr>
        <w:pStyle w:val="Heading1"/>
      </w:pPr>
      <w:r>
        <w:t>Corrections to the previous literature-review draft</w:t>
      </w:r>
    </w:p>
    <w:p>
      <w:pPr>
        <w:pStyle w:val="ListBullet"/>
      </w:pPr>
      <w:r>
        <w:t>Corrected the clinical decision-making article attribution: the verified article is by Hager et al., not Makowski et al. as first author.</w:t>
      </w:r>
    </w:p>
    <w:p>
      <w:pPr>
        <w:pStyle w:val="ListBullet"/>
      </w:pPr>
      <w:r>
        <w:t>Removed the health fact-checking article from the core argument because the complete author metadata and source details were not sufficiently verified in the prior draft.</w:t>
      </w:r>
    </w:p>
    <w:p>
      <w:pPr>
        <w:pStyle w:val="ListBullet"/>
      </w:pPr>
      <w:r>
        <w:t>Removed the provisional Singhal citation from the core reference list pending separate verification of the exact intended publication/version.</w:t>
      </w:r>
    </w:p>
    <w:p>
      <w:pPr>
        <w:pStyle w:val="ListBullet"/>
      </w:pPr>
      <w:r>
        <w:t>Kept claims bounded to what the verified source records support and explicitly separated literature context from this pilot's findings.</w:t>
      </w:r>
    </w:p>
    <w:p>
      <w:pPr>
        <w:pStyle w:val="Heading1"/>
      </w:pPr>
      <w:r>
        <w:t>Search and verification limitation</w:t>
      </w:r>
    </w:p>
    <w:p>
      <w:r>
        <w:t>Publisher/repository records for the three core references were checked on 21 October 2026. This was a targeted verification step, not an exhaustive search. A formal review would require documented database-specific search strings, date ranges, result counts, deduplication, inclusion/exclusion decisions, and ideally independent screening.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