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Human–AI Interaction in Healthcare Governance:</w:t>
        <w:br/>
        <w:t>Evidence Fidelity, Error Detection and Revision in a Fictional-Scenario Pilot</w:t>
      </w:r>
    </w:p>
    <w:p>
      <w:pPr>
        <w:jc w:val="center"/>
      </w:pPr>
      <w:r>
        <w:rPr>
          <w:i/>
          <w:sz w:val="18"/>
        </w:rPr>
        <w:t>Journal-neutral manuscript draft v1 | 21 October 2026</w:t>
      </w:r>
    </w:p>
    <w:p>
      <w:pPr>
        <w:pStyle w:val="Heading1"/>
      </w:pPr>
      <w:r>
        <w:t>Manuscript status</w:t>
      </w:r>
    </w:p>
    <w:p>
      <w:r>
        <w:t>This is a cautious manuscript draft assembled from the current exploratory pilot report. It is not submission-ready: a literature review and verified references have not been added; no target journal has been selected; and no scenario is currently confirmed eligible for the primary paired Condition A-versus-Condition B analysis. Do not describe this draft as evidence that revision improves accuracy.</w:t>
      </w:r>
    </w:p>
    <w:p>
      <w:pPr>
        <w:pStyle w:val="Heading1"/>
      </w:pPr>
      <w:r>
        <w:t>Abstract</w:t>
      </w:r>
    </w:p>
    <w:p>
      <w:pPr>
        <w:pStyle w:val="Heading2"/>
      </w:pPr>
      <w:r>
        <w:t>Background</w:t>
      </w:r>
    </w:p>
    <w:p>
      <w:r>
        <w:t>AI-generated responses to governance tasks may need to preserve source evidence, distinguish known facts from uncertainty, and make claims traceable. A structured review-and-revision step is one possible workflow, but its effect should not be assumed from clearer presentation alone.</w:t>
      </w:r>
    </w:p>
    <w:p>
      <w:pPr>
        <w:pStyle w:val="Heading2"/>
      </w:pPr>
      <w:r>
        <w:t>Objective</w:t>
      </w:r>
    </w:p>
    <w:p>
      <w:r>
        <w:t>To explore evidence fidelity, error detection, and response changes after structured evidence-checking and revision in six fictional healthcare-governance scenarios, compared with one-shot responses where records permitted.</w:t>
      </w:r>
    </w:p>
    <w:p>
      <w:pPr>
        <w:pStyle w:val="Heading2"/>
      </w:pPr>
      <w:r>
        <w:t>Methods</w:t>
      </w:r>
    </w:p>
    <w:p>
      <w:r>
        <w:t>Six fictional scenarios covered training completion (HG001), an equipment check (HG002), a risk register (HG003), audit sampling (HG004), document control (HG005), and complaints counts (HG006). Condition A was a one-shot initial response. Condition B comprised an initial response followed by a standardised evidence-checking review and revised response. A four-dimension ordinal rubric scored accuracy, evidence fidelity, completeness, and traceability from 0 to 2. The current scores are provisional desk assessments by the same assistant. Missing provenance and prompt/evidence alignment were not reconstructed.</w:t>
      </w:r>
    </w:p>
    <w:p>
      <w:pPr>
        <w:pStyle w:val="Heading2"/>
      </w:pPr>
      <w:r>
        <w:t>Results</w:t>
      </w:r>
    </w:p>
    <w:p>
      <w:r>
        <w:t>No scenario is currently confirmed eligible for the primary paired Condition A-versus-Condition B analysis because exact prompt/evidence alignment and run metadata remain unverified. For HG003–HG006, the working records contain provisional scores of 2/2 for Condition A initial, Condition B initial, and Condition B revised outputs on all four rubric dimensions; the desk review identified no material unsupported factual claims in these outputs. These ceiling-level, same-assistant assessments show no measured score change and cannot establish that the outputs are error-free. HG001 has unresolved Condition B initial-response provenance. An older duplicated Condition B record for HG002 is excluded; the retained record still has unresolved alignment and metadata.</w:t>
      </w:r>
    </w:p>
    <w:p>
      <w:pPr>
        <w:pStyle w:val="Heading2"/>
      </w:pPr>
      <w:r>
        <w:t>Conclusion</w:t>
      </w:r>
    </w:p>
    <w:p>
      <w:r>
        <w:t>The available records support a descriptive methods account, not an estimate of revision effectiveness. The pilot highlights the importance of preserving exact prompts, source evidence, complete outputs, and run metadata before making comparative claims. Independent review and provenance recovery are needed before a stronger effectiveness claim could be considered.</w:t>
      </w:r>
    </w:p>
    <w:p>
      <w:r>
        <w:t>Keywords: human–AI interaction; evidence fidelity; governance; audit; revision; provenance; exploratory pilot.</w:t>
      </w:r>
    </w:p>
    <w:p>
      <w:pPr>
        <w:pStyle w:val="Heading1"/>
      </w:pPr>
      <w:r>
        <w:t>Introduction</w:t>
      </w:r>
    </w:p>
    <w:p>
      <w:r>
        <w:t>[Literature review required.] The study is motivated by a practical documentation question: when an AI-generated response is asked to use only supplied evidence, does a structured evidence-checking and revision step produce observable changes in factual support, completeness, or traceability? A credible answer requires separating changes in presentation from changes in evidence-supported content and treating missing provenance as a limitation rather than filling gaps retrospectively.</w:t>
      </w:r>
    </w:p>
    <w:p>
      <w:r>
        <w:t>This pilot uses fictional healthcare-governance scenarios only. It does not involve real patient data, real healthcare workers, operational clinical decisions, or clinical validation. The research question is: Does structured evidence-checking and revision improve AI-generated responses to fictional healthcare-governance tasks compared with a one-shot response?</w:t>
      </w:r>
    </w:p>
    <w:p>
      <w:pPr>
        <w:pStyle w:val="Heading1"/>
      </w:pPr>
      <w:r>
        <w:t>Methods</w:t>
      </w:r>
    </w:p>
    <w:p>
      <w:pPr>
        <w:pStyle w:val="Heading2"/>
      </w:pPr>
      <w:r>
        <w:t>Design and scenarios</w:t>
      </w:r>
    </w:p>
    <w:p>
      <w:r>
        <w:t>The pilot considered six scenarios: training completion (HG001), equipment check (HG002), risk register (HG003), audit sampling (HG004), document control (HG005), and monthly complaints counts (HG006). Condition A was a one-shot answer. Condition B included an initial answer followed by a standardised evidence-checking revision prompt and a revised answer.</w:t>
      </w:r>
    </w:p>
    <w:p>
      <w:pPr>
        <w:pStyle w:val="Heading2"/>
      </w:pPr>
      <w:r>
        <w:t>Assessment rubric</w:t>
      </w:r>
    </w:p>
    <w:p>
      <w:r>
        <w:t>Four ordinal dimensions were used: accuracy, evidence fidelity, completeness, and traceability, each scored from 0 to 2. Correction success applies only to a revised response and should be marked not applicable when no material initial error was identified. Unsupported factual claims and error types were tracked separately. Missing scores were left blank rather than imputed as zero.</w:t>
      </w:r>
    </w:p>
    <w:p>
      <w:pPr>
        <w:pStyle w:val="Heading2"/>
      </w:pPr>
      <w:r>
        <w:t>Provenance and eligibility</w:t>
      </w:r>
    </w:p>
    <w:p>
      <w:r>
        <w:t>The current eligibility rule requires verification of exact prompts, source evidence, complete outputs, and available run metadata before a scenario is treated as eligible for a primary paired comparison. Missing details are recorded as unavailable rather than reconstructed from memory. At the current review point, no scenario meets the confirmed-eligibility threshold for the primary A-versus-B analysis.</w:t>
      </w:r>
    </w:p>
    <w:p>
      <w:pPr>
        <w:pStyle w:val="Heading2"/>
      </w:pPr>
      <w:r>
        <w:t>Review process</w:t>
      </w:r>
    </w:p>
    <w:p>
      <w:r>
        <w:t>Current rubric ratings and unsupported-claim counts are provisional desk assessments made by the same assistant. No independent second reviewer or inter-rater reliability estimate is available. No inferential tests were conducted.</w:t>
      </w:r>
    </w:p>
    <w:p>
      <w:pPr>
        <w:pStyle w:val="Heading1"/>
      </w:pPr>
      <w:r>
        <w:t>Results</w:t>
      </w:r>
    </w:p>
    <w:p>
      <w:pPr>
        <w:pStyle w:val="Heading2"/>
      </w:pPr>
      <w:r>
        <w:t>Eligibility for paired comparison</w:t>
      </w:r>
    </w:p>
    <w:p>
      <w:r>
        <w:t>No scenario is currently confirmed eligible for the primary paired Condition A-versus-Condition B analysis. For HG001, Condition B initial-response provenance is unresolved. For HG002, an older duplicated B record remains excluded; the retained B record still has unresolved exact prompt/evidence alignment and run metadata. For HG003–HG006, records and provisional scores are present, but exact prompt/evidence alignment and run metadata have not been verified.</w:t>
      </w:r>
    </w:p>
    <w:p>
      <w:pPr>
        <w:pStyle w:val="Heading2"/>
      </w:pPr>
      <w:r>
        <w:t>Provisional rubric pattern</w:t>
      </w:r>
    </w:p>
    <w:p>
      <w:r>
        <w:t>For HG003–HG006, the working dataset records 2/2 on accuracy, evidence fidelity, completeness, and traceability for Condition A initial, Condition B initial, and Condition B revised outputs. The same-assistant desk review identified zero material unsupported factual claims in those outputs. All-ceiling scores restrict sensitivity to improvement. Zero claims identified in this review is not proof that no unsupported claims exist.</w:t>
      </w:r>
    </w:p>
    <w:p>
      <w:pPr>
        <w:pStyle w:val="Heading2"/>
      </w:pPr>
      <w:r>
        <w:t>Scenario-level evidence summaries</w:t>
      </w:r>
    </w:p>
    <w:p>
      <w:pPr>
        <w:pStyle w:val="Heading3"/>
      </w:pPr>
      <w:r>
        <w:t>HG001 — Training completion</w:t>
      </w:r>
    </w:p>
    <w:p>
      <w:r>
        <w:t>32 of 40 staff were recorded as complete (80%), against a target of at least 90%; eight were incomplete. Reasons for incomplete training were not recorded. Condition B initial provenance remains unresolved.</w:t>
      </w:r>
    </w:p>
    <w:p>
      <w:pPr>
        <w:pStyle w:val="Heading3"/>
      </w:pPr>
      <w:r>
        <w:t>HG002 — Equipment check</w:t>
      </w:r>
    </w:p>
    <w:p>
      <w:r>
        <w:t>The check was due 4 May and completed 6 May, a two-calendar-day difference by date. The reason and any harm are unknown. The canonical scenario includes discovery during routine review. Exact A/B prompt alignment and run metadata remain unverified.</w:t>
      </w:r>
    </w:p>
    <w:p>
      <w:pPr>
        <w:pStyle w:val="Heading3"/>
      </w:pPr>
      <w:r>
        <w:t>HG003 — Risk register</w:t>
      </w:r>
    </w:p>
    <w:p>
      <w:r>
        <w:t>The source records incomplete handover information, a template and monthly spot checks as listed controls, a blank action field, and no risk scores or incident counts. Control effectiveness, risk severity, and whether actions exist elsewhere are not established.</w:t>
      </w:r>
    </w:p>
    <w:p>
      <w:pPr>
        <w:pStyle w:val="Heading3"/>
      </w:pPr>
      <w:r>
        <w:t>HG004 — Audit sampling</w:t>
      </w:r>
    </w:p>
    <w:p>
      <w:r>
        <w:t>Sixteen of 20 sampled records were compliant (80% sample compliance); four of 20 had exceptions (20%). Sampling method and representativeness are unknown, so the result cannot be generalised to the full record population.</w:t>
      </w:r>
    </w:p>
    <w:p>
      <w:pPr>
        <w:pStyle w:val="Heading3"/>
      </w:pPr>
      <w:r>
        <w:t>HG005 — Document control</w:t>
      </w:r>
    </w:p>
    <w:p>
      <w:r>
        <w:t>An action due 15 August was still marked “in progress” on 22 August, a seven-calendar-day difference. Reason, impact, and eventual status are unknown.</w:t>
      </w:r>
    </w:p>
    <w:p>
      <w:pPr>
        <w:pStyle w:val="Heading3"/>
      </w:pPr>
      <w:r>
        <w:t>HG006 — Complaints trend</w:t>
      </w:r>
    </w:p>
    <w:p>
      <w:r>
        <w:t>Counts were January 12, February 9, and March 11. Changes were −25% from January to February, +22.22% from February to March, and −8.33% from January to March. Service volume, severity, category, and reporting-change context are absent; causes, complaint rates, and service quality cannot be inferred.</w:t>
      </w:r>
    </w:p>
    <w:p>
      <w:pPr>
        <w:pStyle w:val="Heading1"/>
      </w:pPr>
      <w:r>
        <w:t>Discussion</w:t>
      </w:r>
    </w:p>
    <w:p>
      <w:r>
        <w:t>The available records do not establish that structured revision improves factual accuracy. For HG003–HG006, the four rubric dimensions did not change between the recorded B initial and B revised outputs, but ceiling-level scores and same-assistant assessment constrain interpretation. The records describe revisions mainly as changes in organisation, presentation, and explicit uncertainty; those observations should not be conflated with demonstrated factual correction.</w:t>
      </w:r>
    </w:p>
    <w:p>
      <w:r>
        <w:t>A methodological contribution of this pilot is its conservative handling of evidence boundaries and provenance. A paired effect should not be estimated until prompt and source alignment, independence of initial outputs, and available model/version/settings metadata have been checked. Where records cannot be recovered, the limitation should remain explicit.</w:t>
      </w:r>
    </w:p>
    <w:p>
      <w:pPr>
        <w:pStyle w:val="Heading2"/>
      </w:pPr>
      <w:r>
        <w:t>Limitations</w:t>
      </w:r>
    </w:p>
    <w:p>
      <w:pPr>
        <w:pStyle w:val="ListBullet"/>
      </w:pPr>
      <w:r>
        <w:t>Only six fictional scenarios were considered; results do not generalise to real healthcare operations or other domains.</w:t>
      </w:r>
    </w:p>
    <w:p>
      <w:pPr>
        <w:pStyle w:val="ListBullet"/>
      </w:pPr>
      <w:r>
        <w:t>No scenario is currently confirmed eligible for the primary paired A-versus-B analysis.</w:t>
      </w:r>
    </w:p>
    <w:p>
      <w:pPr>
        <w:pStyle w:val="ListBullet"/>
      </w:pPr>
      <w:r>
        <w:t>HG001 Condition B initial-response provenance is unresolved.</w:t>
      </w:r>
    </w:p>
    <w:p>
      <w:pPr>
        <w:pStyle w:val="ListBullet"/>
      </w:pPr>
      <w:r>
        <w:t>HG002 includes an excluded duplicated B record and unresolved alignment/context metadata for the retained record.</w:t>
      </w:r>
    </w:p>
    <w:p>
      <w:pPr>
        <w:pStyle w:val="ListBullet"/>
      </w:pPr>
      <w:r>
        <w:t>Ratings are provisional and made by the same assistant; no independent reviewer or inter-rater reliability assessment is available.</w:t>
      </w:r>
    </w:p>
    <w:p>
      <w:pPr>
        <w:pStyle w:val="ListBullet"/>
      </w:pPr>
      <w:r>
        <w:t>Ceiling-level scores for HG003–HG006 limit sensitivity to improvement.</w:t>
      </w:r>
    </w:p>
    <w:p>
      <w:pPr>
        <w:pStyle w:val="ListBullet"/>
      </w:pPr>
      <w:r>
        <w:t>Unsupported-claim counts are provisional desk-review detections, not proof of absence.</w:t>
      </w:r>
    </w:p>
    <w:p>
      <w:pPr>
        <w:pStyle w:val="ListBullet"/>
      </w:pPr>
      <w:r>
        <w:t>No inferential tests were conducted, and no causal effect is claimed.</w:t>
      </w:r>
    </w:p>
    <w:p>
      <w:pPr>
        <w:pStyle w:val="Heading1"/>
      </w:pPr>
      <w:r>
        <w:t>Conclusion</w:t>
      </w:r>
    </w:p>
    <w:p>
      <w:r>
        <w:t>This exploratory pilot describes six fictional governance scenarios and the response/revision records currently available. The provisional review of HG003–HG006 found no score differences across the four rubric dimensions and no material unsupported factual claims identified. Because of ceiling effects, single-assistant scoring, and unresolved provenance and prompt-alignment checks, the pilot cannot conclude that structured revision improves factual accuracy. The next essential step is to verify and freeze the source evidence, exact prompts, complete outputs, and available run metadata; if these cannot be recovered, the work should remain explicitly descriptive.</w:t>
      </w:r>
    </w:p>
    <w:p>
      <w:pPr>
        <w:pStyle w:val="Heading1"/>
      </w:pPr>
      <w:r>
        <w:t>Declarations to complete before submission</w:t>
      </w:r>
    </w:p>
    <w:p>
      <w:pPr>
        <w:pStyle w:val="ListBullet"/>
      </w:pPr>
      <w:r>
        <w:t>Author names, affiliations, and corresponding-author details: not supplied in this draft.</w:t>
      </w:r>
    </w:p>
    <w:p>
      <w:pPr>
        <w:pStyle w:val="ListBullet"/>
      </w:pPr>
      <w:r>
        <w:t>Funding: not supplied; do not infer absence of funding.</w:t>
      </w:r>
    </w:p>
    <w:p>
      <w:pPr>
        <w:pStyle w:val="ListBullet"/>
      </w:pPr>
      <w:r>
        <w:t>Conflicts of interest: not supplied.</w:t>
      </w:r>
    </w:p>
    <w:p>
      <w:pPr>
        <w:pStyle w:val="ListBullet"/>
      </w:pPr>
      <w:r>
        <w:t>Data/materials availability statement: to be decided based on what can appropriately be shared.</w:t>
      </w:r>
    </w:p>
    <w:p>
      <w:pPr>
        <w:pStyle w:val="ListBullet"/>
      </w:pPr>
      <w:r>
        <w:t>Ethics/oversight statement: confirm the applicable institutional or venue requirements; do not assume approval or exemption.</w:t>
      </w:r>
    </w:p>
    <w:p>
      <w:pPr>
        <w:pStyle w:val="ListBullet"/>
      </w:pPr>
      <w:r>
        <w:t>References: not yet added. A targeted literature search and citation verification are required.</w:t>
      </w:r>
    </w:p>
    <w:p>
      <w:pPr>
        <w:pStyle w:val="ListBullet"/>
      </w:pPr>
      <w:r>
        <w:t>Target journal or conference and author instructions: not selected.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