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Human–AI Interaction in Healthcare Governance: Evidence Fidelity, Error Detection and Revision in a Fictional-Scenario Pilot</w:t>
      </w:r>
    </w:p>
    <w:p>
      <w:pPr>
        <w:jc w:val="center"/>
      </w:pPr>
      <w:r>
        <w:rPr>
          <w:i/>
        </w:rPr>
        <w:t>Integrated manuscript draft v2 | 21 October 2026</w:t>
      </w:r>
    </w:p>
    <w:p>
      <w:pPr>
        <w:pStyle w:val="Heading1"/>
      </w:pPr>
      <w:r>
        <w:t>Manuscript status</w:t>
      </w:r>
    </w:p>
    <w:p>
      <w:r>
        <w:t>This draft integrates the current verified-core-source literature review with the exploratory pilot results. It is not ready for submission: the literature search was targeted rather than systematic, run-level provenance and prompt/evidence alignment remain unresolved, the rubric ratings are provisional same-assistant assessments, and author/venue declarations remain incomplete. No causal or effectiveness claim is made.</w:t>
      </w:r>
    </w:p>
    <w:p>
      <w:pPr>
        <w:pStyle w:val="Heading1"/>
      </w:pPr>
      <w:r>
        <w:t>Abstract</w:t>
      </w:r>
    </w:p>
    <w:p>
      <w:r>
        <w:t>Background: Evaluating large language model (LLM) responses requires attention to more than surface fluency or a single accuracy score. Structured evidence-checking and revision may be useful, but its effects must be tested rather than presumed.</w:t>
      </w:r>
    </w:p>
    <w:p>
      <w:r>
        <w:t>Objective: To describe evidence fidelity, error detection, and response changes in a six-scenario fictional healthcare-governance pilot, and to assess whether available records support a paired comparison between one-shot and review-and-revision workflows.</w:t>
      </w:r>
    </w:p>
    <w:p>
      <w:r>
        <w:t>Methods: Six fictional scenarios covered training completion (HG001), an equipment check (HG002), a risk register (HG003), audit sampling (HG004), document control (HG005), and complaints counts (HG006). Condition A was a one-shot response. Condition B included an initial response followed by a standardised evidence-checking review and revised response. Four dimensions—accuracy, evidence fidelity, completeness, and traceability—were provisionally scored from 0 to 2 by the same assistant. Eligibility for paired comparison required verification of exact prompts, source evidence, complete outputs, and available run metadata.</w:t>
      </w:r>
    </w:p>
    <w:p>
      <w:r>
        <w:t>Results: No scenario is currently confirmed eligible for the primary paired Condition A-versus-Condition B analysis. For HG003–HG006, working records contain provisional ceiling-level scores of 2/2 across all four dimensions for Condition A initial, Condition B initial, and Condition B revised outputs; the provisional desk review identified no material unsupported factual claims in those outputs. HG001 has unresolved Condition B initial-response provenance. An older duplicated Condition B record for HG002 was excluded, while alignment and metadata for the retained record remain unresolved.</w:t>
      </w:r>
    </w:p>
    <w:p>
      <w:r>
        <w:t>Conclusion: These records support a descriptive methods account, not an estimate of revision effectiveness. The pilot illustrates the importance of preserving exact prompts, source evidence, outputs, and run metadata. Independent assessment and provenance recovery would be needed before stronger comparative claims could be considered.</w:t>
      </w:r>
    </w:p>
    <w:p>
      <w:r>
        <w:t>Keywords: large language models; evidence fidelity; governance; audit; revision; reproducibility; provenance; exploratory pilot.</w:t>
      </w:r>
    </w:p>
    <w:p>
      <w:pPr>
        <w:pStyle w:val="Heading1"/>
      </w:pPr>
      <w:r>
        <w:t>Introduction</w:t>
      </w:r>
    </w:p>
    <w:p>
      <w:r>
        <w:t>Large language models are being evaluated for a range of healthcare-related tasks, but the dimensions and methods used to evaluate them vary. A systematic review of 519 studies of healthcare LLM applications found that accuracy was the most frequently assessed dimension, while other dimensions—including bias-related measures, deployment considerations, and calibration or uncertainty—were assessed less often. The review also reported that only a small proportion of included studies used real patient-care data. These findings motivate careful, task-specific reporting, but do not validate any particular rubric for fictional governance tasks (Bedi et al., 2025).</w:t>
      </w:r>
    </w:p>
    <w:p>
      <w:r>
        <w:t>Revision should likewise be treated as an empirical intervention rather than a guaranteed correction mechanism. In a radiology-report simplification task, Yang et al. (2024) used radiologists to assess factual correctness and laypeople to assess simplicity and comprehension, reporting promising results for self-correction prompting in that specific task. The finding cannot be assumed to transfer to evidence-constrained governance responses.</w:t>
      </w:r>
    </w:p>
    <w:p>
      <w:r>
        <w:t>Research on simulated clinical decision-making has also reported sensitivity to input quantity and order, among other limitations, highlighting the importance of preserving evaluation conditions and source context (Hager et al., 2024). These clinical findings are contextual background only; the present pilot does not evaluate clinical decision-making, patient outcomes, or real operational use.</w:t>
      </w:r>
    </w:p>
    <w:p>
      <w:r>
        <w:t>The present study asks: Does structured evidence-checking and revision improve AI-generated responses to fictional healthcare-governance tasks compared with a one-shot response? The study is deliberately bounded to fictional scenarios and focuses on evidence fidelity, completeness, traceability, and the integrity of the comparison records.</w:t>
      </w:r>
    </w:p>
    <w:p>
      <w:pPr>
        <w:pStyle w:val="Heading1"/>
      </w:pPr>
      <w:r>
        <w:t>Methods</w:t>
      </w:r>
    </w:p>
    <w:p>
      <w:pPr>
        <w:pStyle w:val="Heading2"/>
      </w:pPr>
      <w:r>
        <w:t>Design and scenarios</w:t>
      </w:r>
    </w:p>
    <w:p>
      <w:r>
        <w:t>This exploratory pilot considered six fictional scenarios: training completion (HG001), an equipment check (HG002), a risk register (HG003), audit sampling (HG004), document control (HG005), and monthly complaints counts (HG006). Condition A was a one-shot answer. Condition B comprised an initial answer followed by a standardised evidence-checking revision prompt and a revised answer.</w:t>
      </w:r>
    </w:p>
    <w:p>
      <w:pPr>
        <w:pStyle w:val="Heading2"/>
      </w:pPr>
      <w:r>
        <w:t>Scoring and error recording</w:t>
      </w:r>
    </w:p>
    <w:p>
      <w:r>
        <w:t>Four dimensions were scored provisionally from 0 to 2: accuracy, evidence fidelity, completeness, and traceability. Unsupported factual claims and error types were tracked separately. Correction success applies only to revised outputs when a material initial error has been identified; it should not be interpreted as an overall safety measure. Missing scores were not imputed as zero.</w:t>
      </w:r>
    </w:p>
    <w:p>
      <w:pPr>
        <w:pStyle w:val="Heading2"/>
      </w:pPr>
      <w:r>
        <w:t>Eligibility and provenance</w:t>
      </w:r>
    </w:p>
    <w:p>
      <w:r>
        <w:t>A scenario was considered eligible for the primary paired comparison only if the exact prompt, source evidence, complete outputs, and available run metadata could be verified and the Condition A and Condition B records were aligned. Unavailable information was not reconstructed from memory. At the current review point, no scenario meets the confirmed-eligibility threshold.</w:t>
      </w:r>
    </w:p>
    <w:p>
      <w:pPr>
        <w:pStyle w:val="Heading2"/>
      </w:pPr>
      <w:r>
        <w:t>Review and analysis</w:t>
      </w:r>
    </w:p>
    <w:p>
      <w:r>
        <w:t>Current ratings are provisional desk assessments made by the same assistant. No independent second reviewer or inter-rater agreement estimate is available. The analysis is descriptive. No inferential tests were conducted, and no causal effect is estimated.</w:t>
      </w:r>
    </w:p>
    <w:p>
      <w:pPr>
        <w:pStyle w:val="Heading2"/>
      </w:pPr>
      <w:r>
        <w:t>Literature search</w:t>
      </w:r>
    </w:p>
    <w:p>
      <w:r>
        <w:t>A targeted web search and publisher/repository verification were conducted on 21 October 2026 for sources on healthcare LLM evaluation, self-correction, and clinical-context sensitivity. This was not an exhaustive or systematic database search; formal duplicate screening and a full search log were not completed.</w:t>
      </w:r>
    </w:p>
    <w:p>
      <w:pPr>
        <w:pStyle w:val="Heading1"/>
      </w:pPr>
      <w:r>
        <w:t>Results</w:t>
      </w:r>
    </w:p>
    <w:p>
      <w:pPr>
        <w:pStyle w:val="Heading2"/>
      </w:pPr>
      <w:r>
        <w:t>Eligibility for paired comparison</w:t>
      </w:r>
    </w:p>
    <w:p>
      <w:r>
        <w:t>No scenario is currently confirmed eligible for the primary paired Condition A-versus-Condition B analysis. For HG001, Condition B initial-response provenance remains unresolved. For HG002, an older duplicated Condition B record was excluded; exact prompt/evidence alignment and run metadata remain unresolved for the retained record. For HG003–HG006, working records and provisional scores are available, but exact prompt/evidence alignment and run metadata have not been verified.</w:t>
      </w:r>
    </w:p>
    <w:p>
      <w:pPr>
        <w:pStyle w:val="Heading2"/>
      </w:pPr>
      <w:r>
        <w:t>Provisional ratings</w:t>
      </w:r>
    </w:p>
    <w:p>
      <w:r>
        <w:t>For HG003–HG006, the working records contain provisional scores of 2/2 on accuracy, evidence fidelity, completeness, and traceability for Condition A initial, Condition B initial, and Condition B revised outputs. The same-assistant desk review identified no material unsupported factual claims in these outputs. These are ceiling-level provisional assessments, not evidence that the outputs are error-free or that revision has no benefit.</w:t>
      </w:r>
    </w:p>
    <w:p>
      <w:pPr>
        <w:pStyle w:val="Heading2"/>
      </w:pPr>
      <w:r>
        <w:t>Scenario-level source summaries</w:t>
      </w:r>
    </w:p>
    <w:p>
      <w:pPr>
        <w:pStyle w:val="Heading3"/>
      </w:pPr>
      <w:r>
        <w:t>HG001 — Training completion</w:t>
      </w:r>
    </w:p>
    <w:p>
      <w:r>
        <w:t>32 of 40 staff were recorded as complete (80%), against a target of at least 90%; eight were incomplete. Reasons were not recorded. Condition B initial-response provenance remains unresolved.</w:t>
      </w:r>
    </w:p>
    <w:p>
      <w:pPr>
        <w:pStyle w:val="Heading3"/>
      </w:pPr>
      <w:r>
        <w:t>HG002 — Equipment check</w:t>
      </w:r>
    </w:p>
    <w:p>
      <w:r>
        <w:t>The check was due 4 May and completed 6 May, a two-calendar-day difference by date. The reason and any harm are unknown. The canonical scenario includes discovery during routine review. Exact A/B prompt alignment and run metadata remain unresolved.</w:t>
      </w:r>
    </w:p>
    <w:p>
      <w:pPr>
        <w:pStyle w:val="Heading3"/>
      </w:pPr>
      <w:r>
        <w:t>HG003 — Risk register</w:t>
      </w:r>
    </w:p>
    <w:p>
      <w:r>
        <w:t>The source records incomplete handover information, a template and monthly spot checks as listed controls, a blank action field, and no risk scores or incident counts. Control effectiveness and risk severity are not established.</w:t>
      </w:r>
    </w:p>
    <w:p>
      <w:pPr>
        <w:pStyle w:val="Heading3"/>
      </w:pPr>
      <w:r>
        <w:t>HG004 — Audit sampling</w:t>
      </w:r>
    </w:p>
    <w:p>
      <w:r>
        <w:t>Sixteen of 20 sampled records were compliant (80% sample compliance), and four had exceptions (20%). The sampling method and representativeness are unknown, so the result cannot be generalised to the full record population.</w:t>
      </w:r>
    </w:p>
    <w:p>
      <w:pPr>
        <w:pStyle w:val="Heading3"/>
      </w:pPr>
      <w:r>
        <w:t>HG005 — Document control</w:t>
      </w:r>
    </w:p>
    <w:p>
      <w:r>
        <w:t>An action due 15 August was marked “in progress” on 22 August, a seven-calendar-day difference. Reason, impact, and eventual status are unknown.</w:t>
      </w:r>
    </w:p>
    <w:p>
      <w:pPr>
        <w:pStyle w:val="Heading3"/>
      </w:pPr>
      <w:r>
        <w:t>HG006 — Complaints counts</w:t>
      </w:r>
    </w:p>
    <w:p>
      <w:r>
        <w:t>Counts were January 12, February 9, and March 11. The percentage changes were −25% from January to February, +22.22% from February to March, and −8.33% from January to March. Service volume, severity, category, and reporting-change context are absent; causes and complaint rates cannot be inferred.</w:t>
      </w:r>
    </w:p>
    <w:p>
      <w:pPr>
        <w:pStyle w:val="Heading1"/>
      </w:pPr>
      <w:r>
        <w:t>Discussion</w:t>
      </w:r>
    </w:p>
    <w:p>
      <w:r>
        <w:t>The current records do not establish that structured revision improves factual accuracy. For HG003–HG006, no score change is recorded between the available Condition B initial and revised outputs, but ceiling effects and same-assistant assessment limit interpretation. The results should not be read as evidence of benefit or no benefit. In addition, the absence of material unsupported claims in a provisional desk review is not proof that no such claims exist.</w:t>
      </w:r>
    </w:p>
    <w:p>
      <w:r>
        <w:t>The study's most defensible contribution at this stage is methodological: it documents how provenance and source alignment constrain a comparison, and it keeps unresolved records out of the primary paired analysis. TRIPOD-LLM offers a relevant reporting framework for transparent reporting of LLM studies, including task-specific performance and model/prompt details, but it is not a quality-appraisal tool and does not validate this pilot's methods (Gallifant et al., 2025).</w:t>
      </w:r>
    </w:p>
    <w:p>
      <w:pPr>
        <w:pStyle w:val="Heading2"/>
      </w:pPr>
      <w:r>
        <w:t>Limitations</w:t>
      </w:r>
    </w:p>
    <w:p>
      <w:pPr>
        <w:pStyle w:val="ListBullet"/>
      </w:pPr>
      <w:r>
        <w:t>Only six fictional scenarios were considered; the results do not generalise to real healthcare operations or clinical outcomes.</w:t>
      </w:r>
    </w:p>
    <w:p>
      <w:pPr>
        <w:pStyle w:val="ListBullet"/>
      </w:pPr>
      <w:r>
        <w:t>No scenario is currently confirmed eligible for the primary paired comparison.</w:t>
      </w:r>
    </w:p>
    <w:p>
      <w:pPr>
        <w:pStyle w:val="ListBullet"/>
      </w:pPr>
      <w:r>
        <w:t>Condition B initial-response provenance is unresolved for HG001.</w:t>
      </w:r>
    </w:p>
    <w:p>
      <w:pPr>
        <w:pStyle w:val="ListBullet"/>
      </w:pPr>
      <w:r>
        <w:t>HG002 includes an excluded duplicated record and unresolved alignment/metadata for the retained record.</w:t>
      </w:r>
    </w:p>
    <w:p>
      <w:pPr>
        <w:pStyle w:val="ListBullet"/>
      </w:pPr>
      <w:r>
        <w:t>Rubric ratings are provisional and were made by the same assistant; no independent reviewer or inter-rater agreement is available.</w:t>
      </w:r>
    </w:p>
    <w:p>
      <w:pPr>
        <w:pStyle w:val="ListBullet"/>
      </w:pPr>
      <w:r>
        <w:t>Ceiling-level scores for HG003–HG006 limit sensitivity to improvement.</w:t>
      </w:r>
    </w:p>
    <w:p>
      <w:pPr>
        <w:pStyle w:val="ListBullet"/>
      </w:pPr>
      <w:r>
        <w:t>The targeted literature search was not systematic and was not independently screened.</w:t>
      </w:r>
    </w:p>
    <w:p>
      <w:pPr>
        <w:pStyle w:val="ListBullet"/>
      </w:pPr>
      <w:r>
        <w:t>Model/version/settings metadata and exact prompts/evidence are not verified for all runs.</w:t>
      </w:r>
    </w:p>
    <w:p>
      <w:pPr>
        <w:pStyle w:val="ListBullet"/>
      </w:pPr>
      <w:r>
        <w:t>No inferential tests were conducted and no effectiveness claim is supported.</w:t>
      </w:r>
    </w:p>
    <w:p>
      <w:pPr>
        <w:pStyle w:val="Heading1"/>
      </w:pPr>
      <w:r>
        <w:t>Conclusion</w:t>
      </w:r>
    </w:p>
    <w:p>
      <w:r>
        <w:t>This exploratory pilot describes six fictional governance scenarios and the response/revision records currently available. The provisional review of HG003–HG006 identified no material unsupported factual claims and recorded ceiling-level scores without measured score changes. Because of single-assistant scoring, ceiling effects, and unresolved provenance and prompt/evidence alignment, the study cannot conclude that structured revision improves factual accuracy. The next essential step is to verify and freeze the source evidence, exact prompts, complete outputs, and available run metadata. If those records cannot be recovered, the work should remain explicitly descriptive.</w:t>
      </w:r>
    </w:p>
    <w:p>
      <w:pPr>
        <w:pStyle w:val="Heading1"/>
      </w:pPr>
      <w:r>
        <w:t>Declarations to complete</w:t>
      </w:r>
    </w:p>
    <w:p>
      <w:pPr>
        <w:pStyle w:val="ListBullet"/>
      </w:pPr>
      <w:r>
        <w:t>Author names, affiliations, contributions, and corresponding-author details: not supplied.</w:t>
      </w:r>
    </w:p>
    <w:p>
      <w:pPr>
        <w:pStyle w:val="ListBullet"/>
      </w:pPr>
      <w:r>
        <w:t>Funding: not supplied; do not infer absence of funding.</w:t>
      </w:r>
    </w:p>
    <w:p>
      <w:pPr>
        <w:pStyle w:val="ListBullet"/>
      </w:pPr>
      <w:r>
        <w:t>Conflicts of interest: not supplied.</w:t>
      </w:r>
    </w:p>
    <w:p>
      <w:pPr>
        <w:pStyle w:val="ListBullet"/>
      </w:pPr>
      <w:r>
        <w:t>Ethics/oversight: confirm institutional and target-venue requirements; do not assume approval or exemption.</w:t>
      </w:r>
    </w:p>
    <w:p>
      <w:pPr>
        <w:pStyle w:val="ListBullet"/>
      </w:pPr>
      <w:r>
        <w:t>Data/materials availability: decide what can be shared and ensure the statement matches actual files and permissions.</w:t>
      </w:r>
    </w:p>
    <w:p>
      <w:pPr>
        <w:pStyle w:val="ListBullet"/>
      </w:pPr>
      <w:r>
        <w:t>AI-assisted writing disclosure: complete according to the target venue's current policy.</w:t>
      </w:r>
    </w:p>
    <w:p>
      <w:pPr>
        <w:pStyle w:val="ListBullet"/>
      </w:pPr>
      <w:r>
        <w:t>References and target venue: verify all references and select a journal or conference before submission.</w:t>
      </w:r>
    </w:p>
    <w:p>
      <w:pPr>
        <w:pStyle w:val="Heading1"/>
      </w:pPr>
      <w:r>
        <w:t>References</w:t>
      </w:r>
    </w:p>
    <w:p>
      <w:r>
        <w:t>Bedi S, Liu Y, Orr-Ewing L, et al. Testing and Evaluation of Health Care Applications of Large Language Models: A Systematic Review. JAMA. 2025;333(4):319–328. doi:10.1001/jama.2024.21700.</w:t>
      </w:r>
    </w:p>
    <w:p>
      <w:r>
        <w:t>Gallifant J, Afshar M, Ameen S, et al. The TRIPOD-LLM reporting guideline for studies using large language models. Nature Medicine. 2025;31:60–69. doi:10.1038/s41591-024-03425-5.</w:t>
      </w:r>
    </w:p>
    <w:p>
      <w:r>
        <w:t>Hager P, Jungmann F, Holland R, et al. Evaluation and mitigation of the limitations of large language models in clinical decision-making. Nature Medicine. 2024;30:2613–2622. doi:10.1038/s41591-024-03097-1.</w:t>
      </w:r>
    </w:p>
    <w:p>
      <w:r>
        <w:t>Yang Z, Cherian S, Vucetic S. Two-Pronged Human Evaluation of ChatGPT Self-Correction in Radiology Report Simplification. Findings of the Association for Computational Linguistics: ACL 2024. 2024:4701–4714. doi:10.18653/v1/2024.findings-acl.279.</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