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Twenty-metre optical paths in sub-19 cm rings: chord-skip toroidal multipass cells built from catalogue mirrors for drone-borne methane sensing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B00000"/>
          <w:sz w:val="20"/>
          <w:szCs w:val="20"/>
        </w:rPr>
        <w:t xml:space="preserve">Draft for internal review (simulation results) — 2 July 2026 — not for distribution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Sumant Varanasi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color w:val="B00000"/>
          <w:sz w:val="22"/>
          <w:szCs w:val="22"/>
        </w:rPr>
        <w:t xml:space="preserve">, [co-authors — confirm]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and Thomas Benoy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2,*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Indian Institute of Technology Delhi – Abu Dhabi, UAE    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Aston Institute of Photonic Technologies, Aston University, UK    *t.benoy@aston.ac.uk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Toroidal multipass cells fold long absorption paths into compact, mechanically robust volumes, but published designs demonstrate at most ~10 m of optical path in the 100–200 mm diameter class and typically require custom diamond-turned optics. We present a family of ring-geometry multipass cells that reach a verified 20.4–24.8 m optical path length within a 180 mm assembly envelope — and 20.6 m within 159 mm — using 13–16 catalogue 25.4 mm concave mirrors (≈US$1000 of optics) and a sub-kilogram optical head. Three design principles enable this: (i) a chord-skip ring geometry whose near-diameter chords deliver up to 143 mm of path per reflection at 7–13° incidence; (ii) an engineered dual-plane re-entrance condition in which the machined ring radius acts as the closure-tuning parameter (≈1.2 rad of accumulated transverse phase per millimetre), with a number-theoretic constellation rule that guarantees fringe-safe spot separation on every mirror; and (iii) mode-matched injection through a single 1.3 mm coupling hole, which makes hole losses negligible so that cell transmission equals R^(n−1) exactly in mirror reflectivity R — 86.7 % for the headline 20.4 m design at R = 0.999. Designs are verified with an exact three-dimensional ray tracer including astigmatic Gaussian-beam propagation, cross-validated against an independent ray tracer to sub-micrometre agreement, and toleranced by Monte-Carlo analysis: at research-grade build tolerances the headline design completes all 144 traversals in 100 % of trials, the ±1 % catalogue tolerance on mirror focal length is absorbed by a linear 0.72 mm-per-percent trim of the ring radius, and a plain aluminium ring holds alignment over ±26 K.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Introduction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Tunable diode laser absorption spectroscopy (TDLAS) of the methane 2ν3 band near 1654 nm requires tens of metres of absorption path for sub-ppm sensitivity, while drone deployment restricts the sensor head to roughly a 19 cm envelope and about a kilogram of payload. Multipass cells reconcile these demands by folding the path between mirrors. The classical two-mirror Herriott cell [11–13] achieves this with re-entrant elliptical patterns; its densest variants reach 54.6 m in a 17 cm astigmatic cell [9] and 26.4 m in a 12 cm dense-pattern cell [10], at the cost of custom mirror pairs and critical two-mirror alignment. Ring-geometry (toroidal/circular) cells trade some packing density for one-piece mechanical robustness: demonstrated paths are 2.2–4.1 m in the monolithic toroidal cell of Tuzson et al. [1, 2], &gt;12 m in a 145 mm circular paraboloid [3], 10 m at &lt;200 g in the segmented cell of Graf et al. [4], and 10 m (30 m theoretical) from multi-layer patterns on a 100 mm ring [7]; mask-based fringe suppression [5], double-row geometries at larger diameter [6], and cryogenic toroidal cavities [8] extend the family. Across this literature, demonstrated toroidal-class paths in drone-compatible envelopes cluster at or below ~10 m, and every design relies on custom optics.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work asks a deliberately constrained question: how much verified optical path can a ring cell deliver inside a 190 mm envelope using only catalogue mirrors — Thorlabs CM254-series 25.4 mm concave mirrors (16 focal lengths, ≈US$74 each) — with 8–16 mirrors, a single 1.3 mm coupling hole, and a 1.3 mm collimated input? The chord-skip parameter is the entry point: in our early design-space exploration, moving from adjacent-mirror propagation to a skip of s = 4 on a 9-mirror ring raised the path length by 67 % while cutting the incidence angle from 67.5° to 10°, and a companion catalogue study showed 12.7 mm mirrors saturate near 12 m — fixing the present 25.4 mm, N = 8–16 design space. Our contributions are: (1) the chord-skip parametrisation itself, with s ≈ N/2 giving near-diameter chords at near-normal incidence; (2) an engineered — rather than searched-for — re-entrance condition, tuned by the machined ring radius against catalogue-locked curvatures, with an exact constellation criterion guaranteeing fringe-safe spot patterns before any ray is traced; (3) mode-matched single-hole coupling that renders the hole lossless; and (4) a fully verified design menu (13.6 m in 143 mm to 24.8 m in 180 mm), each design passing an eight-item physical check matrix in exact ray tracing, cross-validated independently, Monte-Carlo toleranced, and accompanied by machining-level build specifications and a drone mass budget.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Cell architecture and design principles</w:t>
      </w:r>
    </w:p>
    <w:p>
      <w:pPr>
        <w:spacing w:after="120" w:before="22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2.1 Chord-skip ring geometry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 identical concave mirrors of curvature radius R and clear-aperture radius 11.4 mm face inward from a ring of radius R_ring, one every 360°/N. A beam injected through a hole in mirror M0 advances by s mirrors per reflection (the chord skip, gcd(N, s) = 1). Each chord has length L = 2 R_ring sin(πs/N) and the incidence angle on every mirror is θ_i = π/2 − πs/N. For s ≈ N/2 the chords approach the ring diameter while θ_i falls to 6–13°: a 72 mm-radius ring yields 140+ mm of path per reflection — the geometric core of the result. The assembly envelope is 2(R_ring + 18 mm), the allowance covering substrate and housing wall.</w:t>
      </w:r>
    </w:p>
    <w:p>
      <w:pPr>
        <w:spacing w:after="120" w:before="22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2.2 Re-entrance: dual-plane phase closure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the paraxial unit cell (one chord plus one mirror) the transverse ray oscillation advances by a phase θ per bounce, with cos θ_t = 1 − L/(R cos θ_i) tangentially and cos θ_s = 1 − L cos θ_i /R sagittally (the off-axis astigmatic split). The beam exits through the entrance hole after n = kN reflections when both accumulated phases return to their launch value; zero-crossing launches close at phase 0 or π, giving four closure-mode combinations per geometry. The single machinable parameter R_ring moves both accumulated phases along a nearly fixed direction (≈1.2 rad per millimetre here), so a candidate is closable only if its signed phase residuals lie near that line; the residual is absorbed by the launch amplitudes through their weak aberration-mediated phase pull. Re-entrance thus becomes an engineered property: the ring is machined to the radius that closes the pattern for the delivered mirror lot, and the verified designs re-cross the hole centre to within 10⁻⁶–10⁻⁴ mm.</w:t>
      </w:r>
    </w:p>
    <w:p>
      <w:pPr>
        <w:spacing w:after="120" w:before="22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2.3 Constellation rule: fringe-safe spot patterns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 closure the n = kN spots sample a Lissajous curve at unit-fraction phase steps. Three exact geometric rules follow: k must be odd (for even k the tangential π-slot coincides with a sagittal near-return and a spot lands in the coupling hole); gcd(M, k) = 1 in both planes with M = round(nθ/2π) (otherwise the k spots per mirror collapse into clusters); and — decisive in practice — every mirror carries the same k-point pattern at a different phase origin along the curve, so the worst spot pair must be evaluated over all N mirrors, not only the launch mirror, which overestimates usable separation by up to 3×. The minimum pair distance and pattern extent are computed exactly per candidate, sizing the required amplitude and rejecting self-crowding patterns before ray tracing. Spot-overlap fringes — the dominant practical noise source in this cell class [5, 7] — are thereby excluded by construction: every design keeps every spot pair on every mirror at least the sum of the local 1/e² radii plus 0.36–0.42 mm apart.</w:t>
      </w:r>
    </w:p>
    <w:p>
      <w:pPr>
        <w:spacing w:after="120" w:before="22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2.4 Mode-matched single-hole coupling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1.3 mm waist placed at the hole is badly mismatched to the cell eigenmode (mirror-plane radius w = √(M²λL/π sin θ) ≈ 0.3–0.45 mm here); the beam then breathes to ~3× its injected size, spots overlap, and the hole clips 13.5 % of the power at entry and again at exit. Instead, a small lens focuses the 1.3 mm collimated input so the in-cell waist (0.20–0.33 mm) sits near mid-chord: the beam rides the eigenmode at 0.21–0.42 mm for the entire path, the radius at the hole is ~0.3–0.37 mm, and the 1.3 mm hole transmits ≈100 % both ways. Cell transmission is then exactly T(R) = R^(n−1). At closure the round-trip ABCD map is the identity, so the exit beam reproduces the injected Gaussian and leaves through the same hole, separated from the input axis by 2θ_i (22.5° for N = 16), placing laser and detector side by side behind M0 with no beamsplitter.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Numerical methods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Designs were generated and verified with our open simulation platform: an exact 3-D ray tracer on toroidal/spherical surfaces (analytic normals, Newton-iterated intersections, per-bounce aperture tests), astigmatic Gaussian propagation via per-plane complex-q ABCD transfer with the actual per-bounce incidence angles and an M² factor, loss budget, per-plane stability, and spot diagnostics; earlier iterations of the platform added Sobol design-space sampling and machine-learning surrogates used in the exploratory phase. The search runs in two stages: Stage A enumerates the catalogue space (16 curvatures × N = 8–16 × coprime skips × a fine ring-radius grid × odd k) against packing, envelope, stability, closure-residual and constellation criteria; Stage B ray-traces survivors, sweeps the ring radius in 20 µm steps to locate the ~20 µm-wide closure valley, and polishes six launch/geometry parameters by Nelder-Mead. A design is accepted only if the final trace passes all eight checks of Table 2. The tracer was cross-validated against the independent open-source ray tracer Optiland [15]: over 64 bounces of the headline design the two agree to 0.000 µm RMS in spot position, 0.01° in incidence angle, and 0.8 µm in chord length.</w:t>
      </w:r>
    </w:p>
    <w:p>
      <w:pPr>
        <w:spacing w:after="60" w:before="160"/>
        <w:jc w:val="center"/>
      </w:pPr>
      <w:r>
        <w:drawing>
          <wp:inline distT="0" distB="0" distL="0" distR="0">
            <wp:extent cx="5524500" cy="4019550"/>
            <wp:effectExtent t="0" r="0" b="0" l="0"/>
            <wp:docPr id="1" name="fig1" descr="Exact traced beam path of the headline design: 16 catalogue mirrors on a 72.155 mm ring, 144 chords (20.38 m), coloured by bounce order; the input beam (green) enters through the 1.3 mm hole in M0 and the closed pattern exits through the same hole.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Fig. 1.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Exact traced beam path of the headline design: 16 catalogue mirrors on a 72.155 mm ring, 144 chords (20.38 m), coloured by bounce order; the input beam (green) enters through the 1.3 mm hole in M0 and the closed pattern exits through the same hole.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Results</w:t>
      </w:r>
    </w:p>
    <w:p>
      <w:pPr>
        <w:spacing w:after="120" w:before="22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4.1 Verified design menu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1.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Verified design menu. Every row passes the full check matrix in the exact ray trace. Transmission T = R^(chords−1) exactly (hole losses ≈ 0); quoted at R = 0.999 with sensitivity to coating in brackets (R = 0.985 / 0.97). Envelope = 2(R_ring + 18 mm).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350"/>
        <w:gridCol w:w="1150"/>
        <w:gridCol w:w="850"/>
        <w:gridCol w:w="850"/>
        <w:gridCol w:w="1650"/>
        <w:gridCol w:w="1060"/>
      </w:tblGrid>
      <w:tr>
        <w:tc>
          <w:tcPr>
            <w:tcW w:type="dxa" w:w="14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design</w:t>
            </w:r>
          </w:p>
        </w:tc>
        <w:tc>
          <w:tcPr>
            <w:tcW w:type="dxa" w:w="23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mirrors</w:t>
            </w:r>
          </w:p>
        </w:tc>
        <w:tc>
          <w:tcPr>
            <w:tcW w:type="dxa" w:w="11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R_ring [mm]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chords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OPL [m]</w:t>
            </w:r>
          </w:p>
        </w:tc>
        <w:tc>
          <w:tcPr>
            <w:tcW w:type="dxa" w:w="16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 @0.999 (0.985/0.97)</w:t>
            </w:r>
          </w:p>
        </w:tc>
        <w:tc>
          <w:tcPr>
            <w:tcW w:type="dxa" w:w="1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env. × height [mm]</w:t>
            </w:r>
          </w:p>
        </w:tc>
      </w:tr>
      <w:tr>
        <w:tc>
          <w:tcPr>
            <w:tcW w:type="dxa" w:w="14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max OPL</w:t>
            </w:r>
          </w:p>
        </w:tc>
        <w:tc>
          <w:tcPr>
            <w:tcW w:type="dxa" w:w="23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 × CM254-200 (R 400)</w:t>
            </w:r>
          </w:p>
        </w:tc>
        <w:tc>
          <w:tcPr>
            <w:tcW w:type="dxa" w:w="11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71.758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24.77</w:t>
            </w:r>
          </w:p>
        </w:tc>
        <w:tc>
          <w:tcPr>
            <w:tcW w:type="dxa" w:w="16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83.9 % (7.1/0.5)</w:t>
            </w:r>
          </w:p>
        </w:tc>
        <w:tc>
          <w:tcPr>
            <w:tcW w:type="dxa" w:w="1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180 × 22</w:t>
            </w:r>
          </w:p>
        </w:tc>
      </w:tr>
      <w:tr>
        <w:tc>
          <w:tcPr>
            <w:tcW w:type="dxa" w:w="14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headline 20 m</w:t>
            </w:r>
          </w:p>
        </w:tc>
        <w:tc>
          <w:tcPr>
            <w:tcW w:type="dxa" w:w="23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 × CM254-150 (R 300)</w:t>
            </w:r>
          </w:p>
        </w:tc>
        <w:tc>
          <w:tcPr>
            <w:tcW w:type="dxa" w:w="11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72.155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20.38</w:t>
            </w:r>
          </w:p>
        </w:tc>
        <w:tc>
          <w:tcPr>
            <w:tcW w:type="dxa" w:w="16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86.7 % (11.5/1.3)</w:t>
            </w:r>
          </w:p>
        </w:tc>
        <w:tc>
          <w:tcPr>
            <w:tcW w:type="dxa" w:w="1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180 × 16</w:t>
            </w:r>
          </w:p>
        </w:tc>
      </w:tr>
      <w:tr>
        <w:tc>
          <w:tcPr>
            <w:tcW w:type="dxa" w:w="14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mid</w:t>
            </w:r>
          </w:p>
        </w:tc>
        <w:tc>
          <w:tcPr>
            <w:tcW w:type="dxa" w:w="23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 × CM254-075 (R 150)</w:t>
            </w:r>
          </w:p>
        </w:tc>
        <w:tc>
          <w:tcPr>
            <w:tcW w:type="dxa" w:w="11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67.489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20.34</w:t>
            </w:r>
          </w:p>
        </w:tc>
        <w:tc>
          <w:tcPr>
            <w:tcW w:type="dxa" w:w="16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85.6 % (9.6/0.9)</w:t>
            </w:r>
          </w:p>
        </w:tc>
        <w:tc>
          <w:tcPr>
            <w:tcW w:type="dxa" w:w="1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171 × 22</w:t>
            </w:r>
          </w:p>
        </w:tc>
      </w:tr>
      <w:tr>
        <w:tc>
          <w:tcPr>
            <w:tcW w:type="dxa" w:w="14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compact 20 m</w:t>
            </w:r>
          </w:p>
        </w:tc>
        <w:tc>
          <w:tcPr>
            <w:tcW w:type="dxa" w:w="23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 × CM254-050 (R 100)</w:t>
            </w:r>
          </w:p>
        </w:tc>
        <w:tc>
          <w:tcPr>
            <w:tcW w:type="dxa" w:w="11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61.519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20.64</w:t>
            </w:r>
          </w:p>
        </w:tc>
        <w:tc>
          <w:tcPr>
            <w:tcW w:type="dxa" w:w="16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84.5 % (7.9/0.6)</w:t>
            </w:r>
          </w:p>
        </w:tc>
        <w:tc>
          <w:tcPr>
            <w:tcW w:type="dxa" w:w="1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159 × 18</w:t>
            </w:r>
          </w:p>
        </w:tc>
      </w:tr>
      <w:tr>
        <w:tc>
          <w:tcPr>
            <w:tcW w:type="dxa" w:w="14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compact max-T</w:t>
            </w:r>
          </w:p>
        </w:tc>
        <w:tc>
          <w:tcPr>
            <w:tcW w:type="dxa" w:w="23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 × CM254-150 (R 300)</w:t>
            </w:r>
          </w:p>
        </w:tc>
        <w:tc>
          <w:tcPr>
            <w:tcW w:type="dxa" w:w="11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62.087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16.60</w:t>
            </w:r>
          </w:p>
        </w:tc>
        <w:tc>
          <w:tcPr>
            <w:tcW w:type="dxa" w:w="16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86.8 % (11.7/1.3)</w:t>
            </w:r>
          </w:p>
        </w:tc>
        <w:tc>
          <w:tcPr>
            <w:tcW w:type="dxa" w:w="1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160 × 20</w:t>
            </w:r>
          </w:p>
        </w:tc>
      </w:tr>
      <w:tr>
        <w:tc>
          <w:tcPr>
            <w:tcW w:type="dxa" w:w="14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small</w:t>
            </w:r>
          </w:p>
        </w:tc>
        <w:tc>
          <w:tcPr>
            <w:tcW w:type="dxa" w:w="23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 × CM254-250 (R 500)</w:t>
            </w:r>
          </w:p>
        </w:tc>
        <w:tc>
          <w:tcPr>
            <w:tcW w:type="dxa" w:w="11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53.486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13.64</w:t>
            </w:r>
          </w:p>
        </w:tc>
        <w:tc>
          <w:tcPr>
            <w:tcW w:type="dxa" w:w="16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87.7 % (13.8/1.9)</w:t>
            </w:r>
          </w:p>
        </w:tc>
        <w:tc>
          <w:tcPr>
            <w:tcW w:type="dxa" w:w="1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143 × 16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 R = 0.999 — the reflectivity class of enhanced/dielectric coatings, and the design assumption adopted here (a protected-gold build at R ≈ 0.985 is quoted in brackets; the choice of coating is a procurement decision, not a design change) — all designs transmit 84–88 %, and the longest-path corners become unambiguously preferred since 30–40 extra reflections cost only ~3 % of signal. The verified boundary of the approach under these constraints is a 141 mm envelope (13.4 m); the best near-miss outside it — 18.0 m in 140 mm — fails only by an intermediate spot grazing the coupling hole by 0.56 mm, and re-slotting the hole within the constellation is an open lever. Below 105 mm, eight 25.4 mm mirrors no longer pack on the ring.</w:t>
      </w:r>
    </w:p>
    <w:p>
      <w:pPr>
        <w:spacing w:after="120" w:before="22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4.2 The headline design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20.38 m design uses sixteen CM254-150 mirrors (R = 300 mm) on a ring machined to R_ring = 72.155 mm (envelope 180 mm, inner height 16 mm, sampled volume 0.26 L). The beam enters at 11.25° mean incidence, completes 144 chords of mean 141.5 mm, deposits 9 spots on each mirror with a worst-pair separation of 0.99 mm against summed beam radii of ~0.64 mm, keeps 4.9 mm of aperture margin, and re-crosses the hole plane within 6 nm of the entrance point at the designed bounce; all eight intermediate visits to M0 clear the hole by at least 1.46 mm beyond the local beam radius. Mode matching sets a 0.326 mm waist 102 mm past the hole (radius at the hole 0.365 mm; hole transmission 100.0 %). Transmission is R^143 = 86.7 % at R = 0.999: a 10 mW DFB source delivers ≈8.7 mW to the detector, so the photon budget is not the limiting factor at any realistic coating.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4362450"/>
            <wp:effectExtent t="0" r="0" b="0" l="0"/>
            <wp:docPr id="1" name="fig2" descr="Per-mirror spot constellations of the headline design (ray-traced): each of the 16 mirrors carries the same 9-point pattern at a different phase origin; the worst pair over all mirrors is the verified fringe-safety quantity. M0 additionally shows the entrance/exit hole.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Fig. 2.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Per-mirror spot constellations of the headline design (ray-traced): each of the 16 mirrors carries the same 9-point pattern at a different phase origin; the worst pair over all mirrors is the verified fringe-safety quantity. M0 additionally shows the entrance/exit hole.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43200"/>
            <wp:effectExtent t="0" r="0" b="0" l="0"/>
            <wp:docPr id="1" name="fig3" descr="Tangential and sagittal 1/e² beam radii at each bounce under mode-matched injection: the beam rides the cell eigenmode at 0.21–0.42 mm for all 144 chords, an order of magnitude below the 11.4 mm clear aperture.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Fig. 3.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Tangential and sagittal 1/e² beam radii at each bounce under mode-matched injection: the beam rides the cell eigenmode at 0.21–0.42 mm for all 144 chords, an order of magnitude below the 11.4 mm clear aperture.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4124325"/>
            <wp:effectExtent t="0" r="0" b="0" l="0"/>
            <wp:docPr id="1" name="fig4" descr="As-built rendering of the headline design: sixteen 25.4 mm mirrors in a one-piece machined ring; laser collimator, mode-matching lens and detector all mount behind M0, the exit beam leaving 22.5° from the injection axis.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Fig. 4.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As-built rendering of the headline design: sixteen 25.4 mm mirrors in a one-piece machined ring; laser collimator, mode-matching lens and detector all mount behind M0, the exit beam leaving 22.5° from the injection axis.</w:t>
      </w:r>
    </w:p>
    <w:p>
      <w:pPr>
        <w:spacing w:after="120" w:before="22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4.3 Drone integration: mass and power budget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2 gives a CAD-level mass estimate for the complete airborne sensor head. Mirror substrates are 25.4 mm × 6.35 mm glass (≈8 g each); the one-piece aluminium ring (14 mm radial section, pocketed) and two 1.5 mm lids dominate the optical-head mass and admit ~30 % lightweighting by skeletonising; injection optics comprise the fibre collimator, mode-matching lens and InGaAs photodiode on a common plate behind M0. With a compact DFB driver/DAQ stack the full payload is ≈1.0–1.2 kg, within the payload class of standard commercial multirotor platforms, and the 0.26 L sampled volume exchanges in well under a second at modest flow. Power is dominated by the laser TEC and electronics at a few watts; the cell itself is passive.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2.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Mass budget (CAD-level estimates, headline vs compact design).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3060"/>
      </w:tblGrid>
      <w:tr>
        <w:tc>
          <w:tcPr>
            <w:tcW w:type="dxa" w:w="3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3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drone_20m (Ø180)</w:t>
            </w:r>
          </w:p>
        </w:tc>
        <w:tc>
          <w:tcPr>
            <w:tcW w:type="dxa" w:w="3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drone_16cm (Ø159)</w:t>
            </w:r>
          </w:p>
        </w:tc>
      </w:tr>
      <w:tr>
        <w:tc>
          <w:tcPr>
            <w:tcW w:type="dxa" w:w="3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mirror substrates</w:t>
            </w:r>
          </w:p>
        </w:tc>
        <w:tc>
          <w:tcPr>
            <w:tcW w:type="dxa" w:w="3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 × 8 g = 128 g</w:t>
            </w:r>
          </w:p>
        </w:tc>
        <w:tc>
          <w:tcPr>
            <w:tcW w:type="dxa" w:w="3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 × 8 g = 104 g</w:t>
            </w:r>
          </w:p>
        </w:tc>
      </w:tr>
      <w:tr>
        <w:tc>
          <w:tcPr>
            <w:tcW w:type="dxa" w:w="3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 ring (pocketed) + lids</w:t>
            </w:r>
          </w:p>
        </w:tc>
        <w:tc>
          <w:tcPr>
            <w:tcW w:type="dxa" w:w="3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450–600 g</w:t>
            </w:r>
          </w:p>
        </w:tc>
        <w:tc>
          <w:tcPr>
            <w:tcW w:type="dxa" w:w="3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380–500 g</w:t>
            </w:r>
          </w:p>
        </w:tc>
      </w:tr>
      <w:tr>
        <w:tc>
          <w:tcPr>
            <w:tcW w:type="dxa" w:w="3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injection optics + detector plate</w:t>
            </w:r>
          </w:p>
        </w:tc>
        <w:tc>
          <w:tcPr>
            <w:tcW w:type="dxa" w:w="3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80 g</w:t>
            </w:r>
          </w:p>
        </w:tc>
        <w:tc>
          <w:tcPr>
            <w:tcW w:type="dxa" w:w="3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80 g</w:t>
            </w:r>
          </w:p>
        </w:tc>
      </w:tr>
      <w:tr>
        <w:tc>
          <w:tcPr>
            <w:tcW w:type="dxa" w:w="3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optical head subtotal</w:t>
            </w:r>
          </w:p>
        </w:tc>
        <w:tc>
          <w:tcPr>
            <w:tcW w:type="dxa" w:w="3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0.66–0.81 kg</w:t>
            </w:r>
          </w:p>
        </w:tc>
        <w:tc>
          <w:tcPr>
            <w:tcW w:type="dxa" w:w="3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0.56–0.68 kg</w:t>
            </w:r>
          </w:p>
        </w:tc>
      </w:tr>
      <w:tr>
        <w:tc>
          <w:tcPr>
            <w:tcW w:type="dxa" w:w="3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DFB laser + driver + DAQ</w:t>
            </w:r>
          </w:p>
        </w:tc>
        <w:tc>
          <w:tcPr>
            <w:tcW w:type="dxa" w:w="3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0.30–0.40 kg</w:t>
            </w:r>
          </w:p>
        </w:tc>
        <w:tc>
          <w:tcPr>
            <w:tcW w:type="dxa" w:w="3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0.30–0.40 kg</w:t>
            </w:r>
          </w:p>
        </w:tc>
      </w:tr>
      <w:tr>
        <w:tc>
          <w:tcPr>
            <w:tcW w:type="dxa" w:w="3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total payload</w:t>
            </w:r>
          </w:p>
        </w:tc>
        <w:tc>
          <w:tcPr>
            <w:tcW w:type="dxa" w:w="3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1.0–1.2 kg</w:t>
            </w:r>
          </w:p>
        </w:tc>
        <w:tc>
          <w:tcPr>
            <w:tcW w:type="dxa" w:w="3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0.9–1.1 kg</w:t>
            </w:r>
          </w:p>
        </w:tc>
      </w:tr>
    </w:tbl>
    <w:p>
      <w:pPr>
        <w:spacing w:after="160"/>
      </w:pP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Tolerance and engineering analysis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design was subjected to 300–400 Monte-Carlo trials with independent per-mirror perturbations at research-grade magnitudes (tilt σ = 0.5 mrad per axis; decentre σ = 50 µm lateral, 100 µm axial; curvature σ = 1 mm; ring radius σ = 0.1 mm; launch σ = 50 µm and 0.5 mrad). No trial in any design clipped or lost the beam, and all completed the full traversal count; geometric quantities in Table 3 are coating-independent. One-at-a-time sensitivity identifies the dominant error source per design: mirror-pocket tilt for the R ≥ 300 mm designs (3.3 mrad of exit drift per 0.5 mrad tilt σ, curvature error negligible), and ring radius / curvature for the compact R = 100 mm design (tilt negligible). The one-piece machined ring, whose pocket angles are cut in a single CNC operation, targets precisely the dominant term; the compact design additionally wants ~2× tighter machining or use of its thermal trim at first alignment.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3.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Monte-Carlo results at research-grade tolerances (mean ± σ; p95 in brackets).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1800"/>
      </w:tblGrid>
      <w:tr>
        <w:tc>
          <w:tcPr>
            <w:tcW w:type="dxa" w:w="2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drone_20m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drone_25m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drone_16cm</w:t>
            </w:r>
          </w:p>
        </w:tc>
      </w:tr>
      <w:tr>
        <w:tc>
          <w:tcPr>
            <w:tcW w:type="dxa" w:w="2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trials clipping / losing beam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0/400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0/300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0/300</w:t>
            </w:r>
          </w:p>
        </w:tc>
      </w:tr>
      <w:tr>
        <w:tc>
          <w:tcPr>
            <w:tcW w:type="dxa" w:w="2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OPL [m]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20.35 ± 0.03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24.74 ± 0.03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20.61 ± 0.03</w:t>
            </w:r>
          </w:p>
        </w:tc>
      </w:tr>
      <w:tr>
        <w:tc>
          <w:tcPr>
            <w:tcW w:type="dxa" w:w="2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exit pointing drift [mrad]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4.2 ± 2.6 (9.4)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 ± 3.3 (11.2)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38 ± 23 (89)</w:t>
            </w:r>
          </w:p>
        </w:tc>
      </w:tr>
      <w:tr>
        <w:tc>
          <w:tcPr>
            <w:tcW w:type="dxa" w:w="2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spot-pattern walk p95 [mm]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1.43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2.95</w:t>
            </w:r>
          </w:p>
        </w:tc>
      </w:tr>
      <w:tr>
        <w:tc>
          <w:tcPr>
            <w:tcW w:type="dxa" w:w="2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hole clearance available [mm]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1.46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3.40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1.65</w:t>
            </w:r>
          </w:p>
        </w:tc>
      </w:tr>
    </w:tbl>
    <w:p>
      <w:pPr>
        <w:spacing w:after="160"/>
      </w:pPr>
    </w:p>
    <w:p>
      <w:pPr>
        <w:spacing w:after="60" w:before="160"/>
        <w:jc w:val="center"/>
      </w:pPr>
      <w:r>
        <w:drawing>
          <wp:inline distT="0" distB="0" distL="0" distR="0">
            <wp:extent cx="5334000" cy="1162050"/>
            <wp:effectExtent t="0" r="0" b="0" l="0"/>
            <wp:docPr id="1" name="fig5" descr="Monte-Carlo distributions for the headline design at research-grade tolerances (400 trials): traversal count is invariant at 144; OPL and exit drift remain within operational bounds in every trial.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Fig. 5.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Monte-Carlo distributions for the headline design at research-grade tolerances (400 trials): traversal count is invariant at 144; OPL and exit drift remain within operational bounds in every trial.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Systematic errors are compensated rather than tolerated. Catalogue mirrors carry a ±1 % focal-length tolerance, typically biased across a delivered lot; re-optimising only the ring radius restores the complete check matrix across the entire band with a strictly linear trim — 0.72 mm per percent of curvature error for the 180 mm designs, 0.62 mm for the compact one. The assembly rule is therefore: measure the delivered curvatures, machine the ring to the interpolated radius, walk in the final micrometres with the temperature trim. Temperature acts through the same mechanism (aluminium scales R_ring by 23.6 ppm/K against an essentially fixed glass curvature): with the launch frozen, the headline design passes every check over ±26 K on plain aluminium (±20 K for the 24.8 m design, ±8 K for the compact one), an invar ring holds ≥±30 K for all three, and a small ring heater doubles as the closure fine-adjustment actuator. All designs also pass every check up to M² = 1.3, beyond typical fibre-coupled DFB sources.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4.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Systematic-error compensation and robustness.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1800"/>
        <w:gridCol w:w="1900"/>
        <w:gridCol w:w="1660"/>
      </w:tblGrid>
      <w:tr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design</w:t>
            </w:r>
          </w:p>
        </w:tc>
        <w:tc>
          <w:tcPr>
            <w:tcW w:type="dxa" w:w="2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ROC ±1 % → ring trim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thermal window (Al)</w:t>
            </w:r>
          </w:p>
        </w:tc>
        <w:tc>
          <w:tcPr>
            <w:tcW w:type="dxa" w:w="1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thermal window (invar)</w:t>
            </w:r>
          </w:p>
        </w:tc>
        <w:tc>
          <w:tcPr>
            <w:tcW w:type="dxa" w:w="16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M² tested</w:t>
            </w:r>
          </w:p>
        </w:tc>
      </w:tr>
      <w:tr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drone_20m</w:t>
            </w:r>
          </w:p>
        </w:tc>
        <w:tc>
          <w:tcPr>
            <w:tcW w:type="dxa" w:w="2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±0.72 mm (linear)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±26 K</w:t>
            </w:r>
          </w:p>
        </w:tc>
        <w:tc>
          <w:tcPr>
            <w:tcW w:type="dxa" w:w="1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≥±30 K</w:t>
            </w:r>
          </w:p>
        </w:tc>
        <w:tc>
          <w:tcPr>
            <w:tcW w:type="dxa" w:w="16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1.3 pass</w:t>
            </w:r>
          </w:p>
        </w:tc>
      </w:tr>
      <w:tr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drone_25m</w:t>
            </w:r>
          </w:p>
        </w:tc>
        <w:tc>
          <w:tcPr>
            <w:tcW w:type="dxa" w:w="2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±0.72 mm (linear)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±20 K</w:t>
            </w:r>
          </w:p>
        </w:tc>
        <w:tc>
          <w:tcPr>
            <w:tcW w:type="dxa" w:w="1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≥±30 K</w:t>
            </w:r>
          </w:p>
        </w:tc>
        <w:tc>
          <w:tcPr>
            <w:tcW w:type="dxa" w:w="16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1.3 pass</w:t>
            </w:r>
          </w:p>
        </w:tc>
      </w:tr>
      <w:tr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drone_16cm</w:t>
            </w:r>
          </w:p>
        </w:tc>
        <w:tc>
          <w:tcPr>
            <w:tcW w:type="dxa" w:w="2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±0.62 mm (linear)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±8 K</w:t>
            </w:r>
          </w:p>
        </w:tc>
        <w:tc>
          <w:tcPr>
            <w:tcW w:type="dxa" w:w="1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≥±30 K</w:t>
            </w:r>
          </w:p>
        </w:tc>
        <w:tc>
          <w:tcPr>
            <w:tcW w:type="dxa" w:w="16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1.3 pass</w:t>
            </w:r>
          </w:p>
        </w:tc>
      </w:tr>
    </w:tbl>
    <w:p>
      <w:pPr>
        <w:spacing w:after="160"/>
      </w:pP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Discussion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5.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Position against published compact multipass cells (demonstrated values unless noted).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500"/>
        <w:gridCol w:w="2200"/>
        <w:gridCol w:w="2060"/>
      </w:tblGrid>
      <w:tr>
        <w:tc>
          <w:tcPr>
            <w:tcW w:type="dxa" w:w="2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cell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diameter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OPL</w:t>
            </w:r>
          </w:p>
        </w:tc>
        <w:tc>
          <w:tcPr>
            <w:tcW w:type="dxa" w:w="2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optics</w:t>
            </w:r>
          </w:p>
        </w:tc>
        <w:tc>
          <w:tcPr>
            <w:tcW w:type="dxa" w:w="2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Tuzson 2013 [1]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~100 mm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4.1 m</w:t>
            </w:r>
          </w:p>
        </w:tc>
        <w:tc>
          <w:tcPr>
            <w:tcW w:type="dxa" w:w="2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monolithic diamond-turned</w:t>
            </w:r>
          </w:p>
        </w:tc>
        <w:tc>
          <w:tcPr>
            <w:tcW w:type="dxa" w:w="2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first monolithic toroidal</w:t>
            </w:r>
          </w:p>
        </w:tc>
      </w:tr>
      <w:tr>
        <w:tc>
          <w:tcPr>
            <w:tcW w:type="dxa" w:w="2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Graf 2018 [4]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&lt;200 g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 m</w:t>
            </w:r>
          </w:p>
        </w:tc>
        <w:tc>
          <w:tcPr>
            <w:tcW w:type="dxa" w:w="2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segmented diamond-turned</w:t>
            </w:r>
          </w:p>
        </w:tc>
        <w:tc>
          <w:tcPr>
            <w:tcW w:type="dxa" w:w="2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interference-free</w:t>
            </w:r>
          </w:p>
        </w:tc>
      </w:tr>
      <w:tr>
        <w:tc>
          <w:tcPr>
            <w:tcW w:type="dxa" w:w="2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Chang 2020 [7]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 mm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 m (30 m theory)</w:t>
            </w:r>
          </w:p>
        </w:tc>
        <w:tc>
          <w:tcPr>
            <w:tcW w:type="dxa" w:w="2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ring surface</w:t>
            </w:r>
          </w:p>
        </w:tc>
        <w:tc>
          <w:tcPr>
            <w:tcW w:type="dxa" w:w="2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multi-layer patterns</w:t>
            </w:r>
          </w:p>
        </w:tc>
      </w:tr>
      <w:tr>
        <w:tc>
          <w:tcPr>
            <w:tcW w:type="dxa" w:w="2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Dong 2016 [9]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170×65×55 mm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54.6 m</w:t>
            </w:r>
          </w:p>
        </w:tc>
        <w:tc>
          <w:tcPr>
            <w:tcW w:type="dxa" w:w="2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 custom spherical</w:t>
            </w:r>
          </w:p>
        </w:tc>
        <w:tc>
          <w:tcPr>
            <w:tcW w:type="dxa" w:w="2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densest; critical alignment</w:t>
            </w:r>
          </w:p>
        </w:tc>
      </w:tr>
      <w:tr>
        <w:tc>
          <w:tcPr>
            <w:tcW w:type="dxa" w:w="2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this work, compact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159 mm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20.6 m</w:t>
            </w:r>
          </w:p>
        </w:tc>
        <w:tc>
          <w:tcPr>
            <w:tcW w:type="dxa" w:w="2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 × catalogue $74</w:t>
            </w:r>
          </w:p>
        </w:tc>
        <w:tc>
          <w:tcPr>
            <w:tcW w:type="dxa" w:w="2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84.5 % T @0.999</w:t>
            </w:r>
          </w:p>
        </w:tc>
      </w:tr>
      <w:tr>
        <w:tc>
          <w:tcPr>
            <w:tcW w:type="dxa" w:w="2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this work, headline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180 mm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20.4 m</w:t>
            </w:r>
          </w:p>
        </w:tc>
        <w:tc>
          <w:tcPr>
            <w:tcW w:type="dxa" w:w="2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 × catalogue $74</w:t>
            </w:r>
          </w:p>
        </w:tc>
        <w:tc>
          <w:tcPr>
            <w:tcW w:type="dxa" w:w="2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86.7 % T @0.999</w:t>
            </w:r>
          </w:p>
        </w:tc>
      </w:tr>
      <w:tr>
        <w:tc>
          <w:tcPr>
            <w:tcW w:type="dxa" w:w="2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this work, max OPL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180 mm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24.8 m</w:t>
            </w:r>
          </w:p>
        </w:tc>
        <w:tc>
          <w:tcPr>
            <w:tcW w:type="dxa" w:w="2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 × catalogue $74</w:t>
            </w:r>
          </w:p>
        </w:tc>
        <w:tc>
          <w:tcPr>
            <w:tcW w:type="dxa" w:w="2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83.9 % T @0.999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Within the toroidal class the verified paths roughly double the demonstrated state of the art at comparable diameter, using catalogue optics and a single machined part; the astigmatic-Herriott record [9] remains denser but at custom-optics and alignment cost the one-piece ring eliminates. Three limitations bound the claims: the results are simulation-verified rather than experimentally demonstrated (the verification chain — exact tracing, independent cross-validation, Monte-Carlo tolerancing, systematic-error compensation — is designed to de-risk the build, and machining-level specification sheets accompany each design); coating reflectivity enters as an external parameter, quoted parametrically throughout; and surface-figure error and scatter are not yet modelled, meriting measurement on the assembled cell.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Conclusion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Chord-skip ring geometry, engineered dual-plane re-entrance tuned by the machined ring radius, an exact constellation criterion, and mode-matched single-hole coupling together turn catalogue 1-inch mirrors into verified 20–25 m multipass cells inside drone-compatible 143–180 mm envelopes, transmitting ~84–88 % at R = 0.999 on a ≈1 kg payload. Next steps: fabricate the headline design, measure transmission and fringe floor against the simulated budgets, and integrate a 1654 nm DFB source for airborne methane sensing.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and code availability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Simulation platform, search harness, all design specifications, and scripts reproducing every figure, table and this document: github.com/Sumant-varanasi/toroidal-cell (_CURRENT/, presets drone_20m, drone_25m, drone_16cm). Acknowledgements and author list to be completed; per the project brief, intellectual property resides with Aston University.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References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B. Tuzson, M. Mangold, H. Looser, A. Manninen, and L. Emmenegger, “Compact multipass optical cell for laser spectroscopy,” Opt. Lett. 38(3), 257–259 (2013).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A. Manninen, B. Tuzson, H. Looser, Y. Bonetti, and L. Emmenegger, “Versatile multipass cell for laser spectroscopic trace gas analysis,” Appl. Phys. B 109, 461–466 (2012).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M. Mangold, B. Tuzson, M. Hundt, J. Jágerská, H. Looser, and L. Emmenegger, “Circular paraboloid reflection cell for laser spectroscopic trace gas analysis,” J. Opt. Soc. Am. A 33(5), 913–919 (2016).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M. Graf, L. Emmenegger, and B. Tuzson, “Compact, circular, and optically stable multipass cell for mobile laser absorption spectroscopy,” Opt. Lett. 43(11), 2434–2437 (2018).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[5]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M. Graf et al., coherent-field modelling and absorption-mask fringe suppression in toroidal multipass cells (2017). [verify]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[6]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K. Sun et al., double-row circular multipass cell reaching 74.7 m (2018). [verify]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[7]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J. Chang et al., “Multi-layer beam patterns from a single toroidal ring surface,” Opt. Lett. 45 (2020). [verify]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[8]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Y. Kilinc et al. (CREMA collaboration), cryogenic toroidal multipass cavities at 6.8 µm with &gt;15 m path (2026). [verify]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[9]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L. Dong et al., ultra-compact dense-spot-pattern multipass cell, 54.6 m in 220 mL (2016). [verify]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[10]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K. Liu et al., dense-pattern multipass cell, 26.4 m (2015). [verify]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[11]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D. R. Herriott, H. Kogelnik, and R. Kompfner, “Off-axis paths in spherical mirror interferometers,” Appl. Opt. 3(4), 523–526 (1964).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[12]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D. R. Herriott and H. J. Schulte, “Folded optical delay lines,” Appl. Opt. 4(8), 883–889 (1965).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[13]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J. B. McManus, P. L. Kebabian, and M. S. Zahniser, “Astigmatic mirror multipass absorption cells for long-path-length spectroscopy,” Appl. Opt. 34(18), 3336–3348 (1995).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[14]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Thorlabs Inc., CM254-xxx-M01 concave mirror series, product datasheets (2026).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[15]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H. Kramer, Optiland: open-source sequential ray tracing in Python, github.com/HarrisonKramer/optiland.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7fb75b9305351e7888ea7475c96d0cd750757c8.png"/><Relationship Id="rId9" Type="http://schemas.openxmlformats.org/officeDocument/2006/relationships/image" Target="media/1a87ccd9b7b6de50404dcbcf044fe9249fd01115.png"/><Relationship Id="rId10" Type="http://schemas.openxmlformats.org/officeDocument/2006/relationships/image" Target="media/b285f107be5aab77b2820da2f25327879e3352ab.png"/><Relationship Id="rId11" Type="http://schemas.openxmlformats.org/officeDocument/2006/relationships/image" Target="media/065d66937f93bbc1c28c52102ae1fbb0bc940ed5.png"/><Relationship Id="rId12" Type="http://schemas.openxmlformats.org/officeDocument/2006/relationships/image" Target="media/fe7c23ad56105fa2a7b7cff7d7046fa1243036d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2026-07-02T22:34:49.716Z</dcterms:created>
  <dcterms:modified xsi:type="dcterms:W3CDTF">2026-07-02T22:34:49.716Z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