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6.png" ContentType="image/png"/>
  <Override PartName="/word/media/rId20.png" ContentType="image/png"/>
  <Override PartName="/word/media/rId35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15.png" ContentType="image/png"/>
  <Override PartName="/word/media/rId32.png" ContentType="image/png"/>
  <Override PartName="/word/media/rId5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725e915ef1b1ebc7182dd07cead0b0c5b3fd293"/>
    <w:p>
      <w:pPr>
        <w:pStyle w:val="Heading1"/>
      </w:pPr>
      <w:r>
        <w:t xml:space="preserve">Ephemeral Cloud &amp; Kubernetes Resource Risk Detection</w:t>
      </w:r>
    </w:p>
    <w:p>
      <w:pPr>
        <w:pStyle w:val="FirstParagraph"/>
      </w:pPr>
      <w:r>
        <w:rPr>
          <w:b/>
          <w:bCs/>
        </w:rPr>
        <w:t xml:space="preserve">Technical Report — Hackathon Submission</w:t>
      </w:r>
      <w:r>
        <w:t xml:space="preserve"> </w:t>
      </w:r>
      <w:r>
        <w:rPr>
          <w:b/>
          <w:bCs/>
        </w:rPr>
        <w:t xml:space="preserve">Track:</w:t>
      </w:r>
      <w:r>
        <w:t xml:space="preserve"> </w:t>
      </w:r>
      <w:r>
        <w:t xml:space="preserve">Cloud Security Governance &amp; Risk</w:t>
      </w:r>
    </w:p>
    <w:p>
      <w:pPr>
        <w:pStyle w:val="BodyText"/>
      </w:pPr>
      <w:r>
        <w:rPr>
          <w:b/>
          <w:bCs/>
        </w:rPr>
        <w:t xml:space="preserve">🔗 Live demo:</w:t>
      </w:r>
      <w:r>
        <w:t xml:space="preserve"> </w:t>
      </w:r>
      <w:hyperlink r:id="rId9">
        <w:r>
          <w:rPr>
            <w:rStyle w:val="Hyperlink"/>
          </w:rPr>
          <w:t xml:space="preserve">https://sentinel-rho-sooty.vercel.app/app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📹 Demo video:</w:t>
      </w:r>
      <w:r>
        <w:t xml:space="preserve"> </w:t>
      </w:r>
      <w:r>
        <w:rPr>
          <w:i/>
          <w:iCs/>
        </w:rPr>
        <w:t xml:space="preserve">add link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rPr>
          <w:i/>
          <w:iCs/>
        </w:rPr>
        <w:t xml:space="preserve">add GitHub URL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A legitimate autoscaler burst and a crypto-mining hijack are statistically identical at the event level — same API calls, same burst rate. The signal that separates them isn’t in the event, it’s in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context</w:t>
      </w:r>
      <w:r>
        <w:rPr>
          <w:b/>
          <w:bCs/>
        </w:rPr>
        <w:t xml:space="preserve">. So we detect on context, not events.</w:t>
      </w:r>
    </w:p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Modern cloud and Kubernetes infrastructure runs on</w:t>
      </w:r>
      <w:r>
        <w:t xml:space="preserve"> </w:t>
      </w:r>
      <w:r>
        <w:rPr>
          <w:b/>
          <w:bCs/>
        </w:rPr>
        <w:t xml:space="preserve">ephemeral resources</w:t>
      </w:r>
      <w:r>
        <w:t xml:space="preserve"> </w:t>
      </w:r>
      <w:r>
        <w:t xml:space="preserve">— CI/CD job pods, spot</w:t>
      </w:r>
      <w:r>
        <w:t xml:space="preserve"> </w:t>
      </w:r>
      <w:r>
        <w:t xml:space="preserve">instances, assumed-role sessions, and autoscaled containers that live for</w:t>
      </w:r>
      <w:r>
        <w:t xml:space="preserve"> </w:t>
      </w:r>
      <w:r>
        <w:rPr>
          <w:i/>
          <w:iCs/>
        </w:rPr>
        <w:t xml:space="preserve">minutes</w:t>
      </w:r>
      <w:r>
        <w:t xml:space="preserve"> </w:t>
      </w:r>
      <w:r>
        <w:t xml:space="preserve">and then vanish.</w:t>
      </w:r>
      <w:r>
        <w:t xml:space="preserve"> </w:t>
      </w:r>
      <w:r>
        <w:t xml:space="preserve">Traditional security controls were built for a world of stable, long-lived assets, and they break on</w:t>
      </w:r>
      <w:r>
        <w:t xml:space="preserve"> </w:t>
      </w:r>
      <w:r>
        <w:t xml:space="preserve">every assumption ephemerality violates: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Traditional assumption</w:t>
            </w:r>
          </w:p>
        </w:tc>
        <w:tc>
          <w:tcPr/>
          <w:p>
            <w:pPr>
              <w:pStyle w:val="Compact"/>
            </w:pPr>
            <w:r>
              <w:t xml:space="preserve">Ephemeral reality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 are stable; inventory can be synced daily</w:t>
            </w:r>
          </w:p>
        </w:tc>
        <w:tc>
          <w:tcPr/>
          <w:p>
            <w:pPr>
              <w:pStyle w:val="Compact"/>
            </w:pPr>
            <w:r>
              <w:t xml:space="preserve">Assets exist for minutes; a daily sync never sees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alert maps to a durable resource to investigate</w:t>
            </w:r>
          </w:p>
        </w:tc>
        <w:tc>
          <w:tcPr/>
          <w:p>
            <w:pPr>
              <w:pStyle w:val="Compact"/>
            </w:pPr>
            <w:r>
              <w:t xml:space="preserve">The resource is gone before triage; no forensic evidence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Identities are long-lived and can be baselined</w:t>
            </w:r>
          </w:p>
        </w:tc>
        <w:tc>
          <w:tcPr/>
          <w:p>
            <w:pPr>
              <w:pStyle w:val="Compact"/>
            </w:pPr>
            <w:r>
              <w:t xml:space="preserve">Sessions have 15-minute TTLs; there is no stable identity to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volume is manageable</w:t>
            </w:r>
          </w:p>
        </w:tc>
        <w:tc>
          <w:tcPr/>
          <w:p>
            <w:pPr>
              <w:pStyle w:val="Compact"/>
            </w:pPr>
            <w:r>
              <w:t xml:space="preserve">Autoscaling and CI/CD generate thousands of near-identical events</w:t>
            </w:r>
          </w:p>
        </w:tc>
      </w:tr>
    </w:tbl>
    <w:bookmarkStart w:id="10" w:name="Xfbf9b3e6aebcc25847bc6cb4ce567f9ee0b332a"/>
    <w:p>
      <w:pPr>
        <w:pStyle w:val="Heading3"/>
      </w:pPr>
      <w:r>
        <w:t xml:space="preserve">1.1 The four canonical incidents (concrete business impact)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Crypto-mining via a compromised CI/CD account</w:t>
      </w:r>
      <w:r>
        <w:t xml:space="preserve"> </w:t>
      </w:r>
      <w:r>
        <w:t xml:space="preserve">— 20 spot VMs spun up at 3 AM, terminated before</w:t>
      </w:r>
      <w:r>
        <w:t xml:space="preserve"> </w:t>
      </w:r>
      <w:r>
        <w:t xml:space="preserve">the SOC shift began. Cost:</w:t>
      </w:r>
      <w:r>
        <w:t xml:space="preserve"> </w:t>
      </w:r>
      <w:r>
        <w:rPr>
          <w:b/>
          <w:bCs/>
        </w:rPr>
        <w:t xml:space="preserve">~$14,000 in 90 minutes; zero alerts fired.</w:t>
      </w:r>
      <w:r>
        <w:t xml:space="preserve"> </w:t>
      </w:r>
      <w:r>
        <w:t xml:space="preserve">Demands off-hours +</w:t>
      </w:r>
      <w:r>
        <w:t xml:space="preserve"> </w:t>
      </w:r>
      <w:r>
        <w:t xml:space="preserve">novelty + cohort-deviation detection, and detection latency</w:t>
      </w:r>
      <w:r>
        <w:t xml:space="preserve"> </w:t>
      </w:r>
      <w:r>
        <w:rPr>
          <w:i/>
          <w:iCs/>
        </w:rPr>
        <w:t xml:space="preserve">shorter than the resource lifetime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Debug pod with NodePort exposed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0.0.0.0/0</w:t>
      </w:r>
      <w:r>
        <w:t xml:space="preserve"> </w:t>
      </w:r>
      <w:r>
        <w:t xml:space="preserve">— ran 11 minutes, exploited by an external</w:t>
      </w:r>
      <w:r>
        <w:t xml:space="preserve"> </w:t>
      </w:r>
      <w:r>
        <w:t xml:space="preserve">scanner, and died before any scan could catch it. Demands exposure scoring that distinguishes a load</w:t>
      </w:r>
      <w:r>
        <w:t xml:space="preserve"> </w:t>
      </w:r>
      <w:r>
        <w:t xml:space="preserve">balancer (public IP is normal) from a debug pod (public IP is dangerous).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Assumed-role session reads PII from S3</w:t>
      </w:r>
      <w:r>
        <w:t xml:space="preserve"> </w:t>
      </w:r>
      <w:r>
        <w:t xml:space="preserve">— the session expired in 15 minutes and was never</w:t>
      </w:r>
      <w:r>
        <w:t xml:space="preserve"> </w:t>
      </w:r>
      <w:r>
        <w:t xml:space="preserve">correlated to the compromised Lambda that triggered it. Demands cross-source graph correlation</w:t>
      </w:r>
      <w:r>
        <w:t xml:space="preserve"> </w:t>
      </w:r>
      <w:r>
        <w:t xml:space="preserve">linking Lambda → session → S3 access.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Autoscaler burst of 40 pods</w:t>
      </w:r>
      <w:r>
        <w:t xml:space="preserve"> </w:t>
      </w:r>
      <w:r>
        <w:t xml:space="preserve">— 40 false-positive alerts buried one real credential-abuse alert.</w:t>
      </w:r>
      <w:r>
        <w:t xml:space="preserve"> </w:t>
      </w:r>
      <w:r>
        <w:t xml:space="preserve">Demands correlation that collapses 40 alerts into 1 incident, plus suppression of cohort-normal</w:t>
      </w:r>
      <w:r>
        <w:t xml:space="preserve"> </w:t>
      </w:r>
      <w:r>
        <w:t xml:space="preserve">bursts.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X34f61006f67f35cd72c928a8035dfe54cf5d4af"/>
    <w:p>
      <w:pPr>
        <w:pStyle w:val="Heading2"/>
      </w:pPr>
      <w:r>
        <w:t xml:space="preserve">2. Why This Is Hard — The Confusability Thesis</w:t>
      </w:r>
    </w:p>
    <w:p>
      <w:pPr>
        <w:pStyle w:val="FirstParagraph"/>
      </w:pPr>
      <w:r>
        <w:t xml:space="preserve">Every hard case in this problem is a pair of look-alikes the system must separate:</w:t>
      </w:r>
    </w:p>
    <w:p>
      <w:pPr>
        <w:pStyle w:val="Compact"/>
        <w:numPr>
          <w:ilvl w:val="0"/>
          <w:numId w:val="1002"/>
        </w:numPr>
      </w:pPr>
      <w:r>
        <w:t xml:space="preserve">40 pods in 2 minutes →</w:t>
      </w:r>
      <w:r>
        <w:t xml:space="preserve"> </w:t>
      </w:r>
      <w:r>
        <w:rPr>
          <w:b/>
          <w:bCs/>
        </w:rPr>
        <w:t xml:space="preserve">HPA autoscale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resource hijacking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Spot VM with a public IP and no tags →</w:t>
      </w:r>
      <w:r>
        <w:t xml:space="preserve"> </w:t>
      </w:r>
      <w:r>
        <w:rPr>
          <w:b/>
          <w:bCs/>
        </w:rPr>
        <w:t xml:space="preserve">misconfigured CI job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attacker staging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Assumed-role session hits S3 at 3 AM →</w:t>
      </w:r>
      <w:r>
        <w:t xml:space="preserve"> </w:t>
      </w:r>
      <w:r>
        <w:rPr>
          <w:b/>
          <w:bCs/>
        </w:rPr>
        <w:t xml:space="preserve">scheduled Lambda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compromised credential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Privileged debug pod runs 5 minutes →</w:t>
      </w:r>
      <w:r>
        <w:t xml:space="preserve"> </w:t>
      </w:r>
      <w:r>
        <w:rPr>
          <w:b/>
          <w:bCs/>
        </w:rPr>
        <w:t xml:space="preserve">developer troubleshooting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container escape</w:t>
      </w:r>
      <w:r>
        <w:t xml:space="preserve">?</w:t>
      </w:r>
    </w:p>
    <w:p>
      <w:pPr>
        <w:pStyle w:val="CaptionedFigure"/>
      </w:pPr>
      <w:r>
        <w:drawing>
          <wp:inline>
            <wp:extent cx="5334000" cy="2176359"/>
            <wp:effectExtent b="0" l="0" r="0" t="0"/>
            <wp:docPr descr="Same burst — which is the attack?" title="" id="13" name="Picture"/>
            <a:graphic>
              <a:graphicData uri="http://schemas.openxmlformats.org/drawingml/2006/picture">
                <pic:pic>
                  <pic:nvPicPr>
                    <pic:cNvPr descr="figures/confusabilit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6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burst — which is the attack?</w:t>
      </w:r>
    </w:p>
    <w:p>
      <w:pPr>
        <w:pStyle w:val="BodyText"/>
      </w:pPr>
      <w:r>
        <w:t xml:space="preserve">The figure above shows two</w:t>
      </w:r>
      <w:r>
        <w:t xml:space="preserve"> </w:t>
      </w:r>
      <w:r>
        <w:rPr>
          <w:b/>
          <w:bCs/>
        </w:rPr>
        <w:t xml:space="preserve">real populations from our generated data</w:t>
      </w:r>
      <w:r>
        <w:t xml:space="preserve">: a legitimate autoscaler burst</w:t>
      </w:r>
      <w:r>
        <w:t xml:space="preserve"> </w:t>
      </w:r>
      <w:r>
        <w:t xml:space="preserve">and a crypto-mining hijack. They fire at the</w:t>
      </w:r>
      <w:r>
        <w:t xml:space="preserve"> </w:t>
      </w:r>
      <w:r>
        <w:rPr>
          <w:b/>
          <w:bCs/>
        </w:rPr>
        <w:t xml:space="preserve">same rate</w:t>
      </w:r>
      <w:r>
        <w:t xml:space="preserve"> </w:t>
      </w:r>
      <w:r>
        <w:t xml:space="preserve">(left — the</w:t>
      </w:r>
      <w:r>
        <w:t xml:space="preserve"> </w:t>
      </w:r>
      <w:r>
        <w:rPr>
          <w:rStyle w:val="VerbatimChar"/>
        </w:rPr>
        <w:t xml:space="preserve">burst_rate</w:t>
      </w:r>
      <w:r>
        <w:t xml:space="preserve"> </w:t>
      </w:r>
      <w:r>
        <w:t xml:space="preserve">distributions sit</w:t>
      </w:r>
      <w:r>
        <w:t xml:space="preserve"> </w:t>
      </w:r>
      <w:r>
        <w:t xml:space="preserve">directly on top of each other, mean 10.8 vs 13.9). The only thing that separates them is</w:t>
      </w:r>
      <w: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(right): tag completeness (0.00 vs 0.54), off-hours timing (0.83 vs 0.08), and untagged spot fleets</w:t>
      </w:r>
      <w:r>
        <w:t xml:space="preserve"> </w:t>
      </w:r>
      <w:r>
        <w:t xml:space="preserve">(0.50 vs 0.00).</w:t>
      </w:r>
    </w:p>
    <w:p>
      <w:pPr>
        <w:pStyle w:val="BodyText"/>
      </w:pPr>
      <w:r>
        <w:rPr>
          <w:b/>
          <w:bCs/>
        </w:rPr>
        <w:t xml:space="preserve">This is the design discipline most submissions skip.</w:t>
      </w:r>
      <w:r>
        <w:t xml:space="preserve"> </w:t>
      </w:r>
      <w:r>
        <w:t xml:space="preserve">It is trivial to make malicious bursts</w:t>
      </w:r>
      <w:r>
        <w:t xml:space="preserve"> </w:t>
      </w:r>
      <w:r>
        <w:rPr>
          <w:i/>
          <w:iCs/>
        </w:rPr>
        <w:t xml:space="preserve">bigger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benign ones — that makes the metrics look great and proves nothing, because</w:t>
      </w:r>
      <w:r>
        <w:t xml:space="preserve"> </w:t>
      </w:r>
      <w:r>
        <w:t xml:space="preserve">it makes the noise-reduction problem disappear. Our simulator deliberately refuses that shortcut: every</w:t>
      </w:r>
      <w:r>
        <w:t xml:space="preserve"> </w:t>
      </w:r>
      <w:r>
        <w:t xml:space="preserve">malicious scenario ships a volume- and timing-matched benign twin, differing only in metadata</w:t>
      </w:r>
      <w:r>
        <w:t xml:space="preserve"> </w:t>
      </w:r>
      <w:r>
        <w:t xml:space="preserve">completeness and ownership. Any system that detects on event volume alone fails on exactly the</w:t>
      </w:r>
      <w:r>
        <w:t xml:space="preserve"> </w:t>
      </w:r>
      <w:r>
        <w:t xml:space="preserve">ambiguous cases this project exists to solve.</w:t>
      </w:r>
    </w:p>
    <w:p>
      <w:pPr>
        <w:pStyle w:val="BodyText"/>
      </w:pPr>
      <w:r>
        <w:t xml:space="preserve">The confusability figure above is the three-feature teaser for one scenario pair. The same effect holds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all eight context features and the entire dataset</w:t>
      </w:r>
      <w:r>
        <w:t xml:space="preserve"> </w:t>
      </w:r>
      <w:r>
        <w:t xml:space="preserve">(8,147 benign vs 1,710 risky events):</w:t>
      </w:r>
    </w:p>
    <w:p>
      <w:pPr>
        <w:pStyle w:val="CaptionedFigure"/>
      </w:pPr>
      <w:r>
        <w:drawing>
          <wp:inline>
            <wp:extent cx="5334000" cy="2732748"/>
            <wp:effectExtent b="0" l="0" r="0" t="0"/>
            <wp:docPr descr="Context features separate risky from benign; burst volume does not" title="" id="16" name="Picture"/>
            <a:graphic>
              <a:graphicData uri="http://schemas.openxmlformats.org/drawingml/2006/picture">
                <pic:pic>
                  <pic:nvPicPr>
                    <pic:cNvPr descr="figures/feature_separat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 features separate risky from benign; burst volume does not</w:t>
      </w:r>
    </w:p>
    <w:p>
      <w:pPr>
        <w:pStyle w:val="BodyText"/>
      </w:pPr>
      <w:r>
        <w:rPr>
          <w:rStyle w:val="VerbatimChar"/>
        </w:rPr>
        <w:t xml:space="preserve">burst_rate</w:t>
      </w:r>
      <w:r>
        <w:t xml:space="preserve"> </w:t>
      </w:r>
      <w:r>
        <w:t xml:space="preserve">(top-left) barely moves between benign and risky — that’s the trap a volume detector falls</w:t>
      </w:r>
      <w:r>
        <w:t xml:space="preserve"> </w:t>
      </w:r>
      <w:r>
        <w:t xml:space="preserve">into. Tag completeness, off-hours timing, exposure window, and cohort-deviation are what actually carry</w:t>
      </w:r>
      <w:r>
        <w:t xml:space="preserve"> </w:t>
      </w:r>
      <w:r>
        <w:t xml:space="preserve">the separation.</w:t>
      </w:r>
    </w:p>
    <w:p>
      <w:pPr>
        <w:pStyle w:val="BodyText"/>
      </w:pPr>
      <w:r>
        <w:rPr>
          <w:b/>
          <w:bCs/>
        </w:rPr>
        <w:t xml:space="preserve">The conclusion that drives every design decision: detect on context, not events.</w:t>
      </w:r>
    </w:p>
    <w:p>
      <w:r>
        <w:pict>
          <v:rect style="width:0;height:1.5pt" o:hralign="center" o:hrstd="t" o:hr="t"/>
        </w:pict>
      </w:r>
    </w:p>
    <w:bookmarkEnd w:id="18"/>
    <w:bookmarkStart w:id="25" w:name="architecture"/>
    <w:p>
      <w:pPr>
        <w:pStyle w:val="Heading2"/>
      </w:pPr>
      <w:r>
        <w:t xml:space="preserve">3. Architecture</w:t>
      </w:r>
    </w:p>
    <w:p>
      <w:pPr>
        <w:pStyle w:val="FirstParagraph"/>
      </w:pPr>
      <w:r>
        <w:t xml:space="preserve">The pipeline follows the brief’s prescribed order literally:</w:t>
      </w:r>
      <w:r>
        <w:t xml:space="preserve"> </w:t>
      </w:r>
      <w:r>
        <w:rPr>
          <w:rStyle w:val="VerbatimChar"/>
        </w:rPr>
        <w:t xml:space="preserve">ingest → enrich → detect → cluster → score → LLM narrative → dashboard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CT[Cloud audit&lt;br/&gt;CloudTrail]:::src --&gt; S1</w:t>
      </w:r>
      <w:r>
        <w:br/>
      </w:r>
      <w:r>
        <w:rPr>
          <w:rStyle w:val="VerbatimChar"/>
        </w:rPr>
        <w:t xml:space="preserve">    K8[K8s audit&lt;br/&gt;audit.k8s.io]:::src --&gt; S1</w:t>
      </w:r>
      <w:r>
        <w:br/>
      </w:r>
      <w:r>
        <w:rPr>
          <w:rStyle w:val="VerbatimChar"/>
        </w:rPr>
        <w:t xml:space="preserve">    IDP[Identity / session&lt;br/&gt;IdP]:::src --&gt; S1</w:t>
      </w:r>
      <w:r>
        <w:br/>
      </w:r>
      <w:r>
        <w:rPr>
          <w:rStyle w:val="VerbatimChar"/>
        </w:rPr>
        <w:t xml:space="preserve">    S1[1 · Ingest + enrich&lt;br/&gt;&lt;small&gt;unified schema · behavioral cohorts · context features&lt;/small&gt;] --&gt; S2</w:t>
      </w:r>
      <w:r>
        <w:br/>
      </w:r>
      <w:r>
        <w:rPr>
          <w:rStyle w:val="VerbatimChar"/>
        </w:rPr>
        <w:t xml:space="preserve">    S2[2 · Detect&lt;br/&gt;&lt;small&gt;tripwires + recall-first anomaly ensemble (IF + ECOD) + cohort suppression&lt;/small&gt;] --&gt; S3</w:t>
      </w:r>
      <w:r>
        <w:br/>
      </w:r>
      <w:r>
        <w:rPr>
          <w:rStyle w:val="VerbatimChar"/>
        </w:rPr>
        <w:t xml:space="preserve">    S3[3 · Cluster&lt;br/&gt;&lt;small&gt;NetworkX entity graph · incidents = connected components (id + ns + time)&lt;/small&gt;] --&gt; S4</w:t>
      </w:r>
      <w:r>
        <w:br/>
      </w:r>
      <w:r>
        <w:rPr>
          <w:rStyle w:val="VerbatimChar"/>
        </w:rPr>
        <w:t xml:space="preserve">    S4[4 · Score&lt;br/&gt;&lt;small&gt;fused, isotonic-calibrated risk — at the INCIDENT level, AFTER clustering&lt;/small&gt;] --&gt; S5</w:t>
      </w:r>
      <w:r>
        <w:br/>
      </w:r>
      <w:r>
        <w:rPr>
          <w:rStyle w:val="VerbatimChar"/>
        </w:rPr>
        <w:t xml:space="preserve">    S5[5 · LLM triage&lt;br/&gt;&lt;small&gt;validated structured JSON: intent · confidence · MITRE · guardrails&lt;/small&gt;] --&gt; S6</w:t>
      </w:r>
      <w:r>
        <w:br/>
      </w:r>
      <w:r>
        <w:rPr>
          <w:rStyle w:val="VerbatimChar"/>
        </w:rPr>
        <w:t xml:space="preserve">    S6[6 · Dashboard&lt;br/&gt;&lt;small&gt;React SOC console fed by static JSON — offline, demo needs no network&lt;/small&gt;]</w:t>
      </w:r>
      <w:r>
        <w:br/>
      </w:r>
      <w:r>
        <w:rPr>
          <w:rStyle w:val="VerbatimChar"/>
        </w:rPr>
        <w:t xml:space="preserve">    classDef src fill:#f3f4f6,stroke:#111827;</w:t>
      </w:r>
    </w:p>
    <w:p>
      <w:pPr>
        <w:pStyle w:val="FirstParagraph"/>
      </w:pPr>
      <w:r>
        <w:rPr>
          <w:i/>
          <w:iCs/>
        </w:rPr>
        <w:t xml:space="preserve">(For PDF/PPT renderers without Mermaid support, the same diagram is committed as</w:t>
      </w:r>
      <w:r>
        <w:rPr>
          <w:i/>
          <w:iCs/>
        </w:rPr>
        <w:t xml:space="preserve"> </w:t>
      </w:r>
      <w:hyperlink r:id="rId19">
        <w:r>
          <w:rPr>
            <w:rStyle w:val="VerbatimChar"/>
            <w:i/>
            <w:iCs/>
          </w:rPr>
          <w:t xml:space="preserve">figures/architecture.png</w:t>
        </w:r>
      </w:hyperlink>
      <w:r>
        <w:rPr>
          <w:i/>
          <w:iCs/>
        </w:rPr>
        <w:t xml:space="preserve">.)</w:t>
      </w:r>
    </w:p>
    <w:p>
      <w:pPr>
        <w:pStyle w:val="CaptionedFigure"/>
      </w:pPr>
      <w:r>
        <w:drawing>
          <wp:inline>
            <wp:extent cx="5334000" cy="5884391"/>
            <wp:effectExtent b="0" l="0" r="0" t="0"/>
            <wp:docPr descr="Pipeline architecture" title="" id="21" name="Picture"/>
            <a:graphic>
              <a:graphicData uri="http://schemas.openxmlformats.org/drawingml/2006/picture">
                <pic:pic>
                  <pic:nvPicPr>
                    <pic:cNvPr descr="figures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4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architecture</w:t>
      </w:r>
    </w:p>
    <w:bookmarkStart w:id="23" w:name="the-four-differentiators"/>
    <w:p>
      <w:pPr>
        <w:pStyle w:val="Heading3"/>
      </w:pPr>
      <w:r>
        <w:t xml:space="preserve">The four differentiators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Behavioral cohorts replace per-identity baselines.</w:t>
      </w:r>
      <w:r>
        <w:t xml:space="preserve"> </w:t>
      </w:r>
      <w:r>
        <w:t xml:space="preserve">Ephemeral identities have no stable history,</w:t>
      </w:r>
      <w:r>
        <w:t xml:space="preserve"> </w:t>
      </w:r>
      <w:r>
        <w:t xml:space="preserve">so we cluster principals into cohorts (</w:t>
      </w:r>
      <w:r>
        <w:rPr>
          <w:rStyle w:val="VerbatimChar"/>
        </w:rPr>
        <w:t xml:space="preserve">ci_runner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hpa_autoscaler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human_dev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scheduled_lambda</w:t>
      </w:r>
      <w:r>
        <w:t xml:space="preserve">) and baseline the</w:t>
      </w:r>
      <w:r>
        <w:t xml:space="preserve"> </w:t>
      </w:r>
      <w:r>
        <w:rPr>
          <w:i/>
          <w:iCs/>
        </w:rPr>
        <w:t xml:space="preserve">cohort</w:t>
      </w:r>
      <w:r>
        <w:t xml:space="preserve">. A brand-new pod inherits its cohort’s baseline</w:t>
      </w:r>
      <w:r>
        <w:t xml:space="preserve"> </w:t>
      </w:r>
      <w:r>
        <w:t xml:space="preserve">instantly — converting the brief’s stated blocker (</w:t>
      </w:r>
      <w:r>
        <w:t xml:space="preserve">“no stable identity to baseline”</w:t>
      </w:r>
      <w:r>
        <w:t xml:space="preserve">) into the</w:t>
      </w:r>
      <w:r>
        <w:t xml:space="preserve"> </w:t>
      </w:r>
      <w:r>
        <w:t xml:space="preserve">solution’s strongest signal.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Two-stage detection separates recall from precision.</w:t>
      </w:r>
      <w:r>
        <w:t xml:space="preserve"> </w:t>
      </w:r>
      <w:r>
        <w:t xml:space="preserve">Stage 1 is a recall-first anomaly ensemble</w:t>
      </w:r>
      <w:r>
        <w:t xml:space="preserve"> </w:t>
      </w:r>
      <w:r>
        <w:t xml:space="preserve">(Isolation Forest + ECOD) where over-flagging is expected and acceptable. Stage 2 suppresses</w:t>
      </w:r>
      <w:r>
        <w:t xml:space="preserve"> </w:t>
      </w:r>
      <w:r>
        <w:t xml:space="preserve">candidates that are normal</w:t>
      </w:r>
      <w:r>
        <w:t xml:space="preserve"> </w:t>
      </w:r>
      <w:r>
        <w:rPr>
          <w:i/>
          <w:iCs/>
        </w:rPr>
        <w:t xml:space="preserve">for their cohort</w:t>
      </w:r>
      <w:r>
        <w:t xml:space="preserve">. This is how high recall and meaningful alert reduction</w:t>
      </w:r>
      <w:r>
        <w:t xml:space="preserve"> </w:t>
      </w:r>
      <w:r>
        <w:t xml:space="preserve">are achieved simultaneously instead of being traded against each other.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Graph correlation surfaces campaigns time-windowing cannot.</w:t>
      </w:r>
      <w:r>
        <w:t xml:space="preserve"> </w:t>
      </w:r>
      <w:r>
        <w:t xml:space="preserve">A NetworkX graph with time-gated,</w:t>
      </w:r>
      <w:r>
        <w:t xml:space="preserve"> </w:t>
      </w:r>
      <w:r>
        <w:t xml:space="preserve">typed edges links related events across all three sources. This is what collapses 40 autoscaler</w:t>
      </w:r>
      <w:r>
        <w:t xml:space="preserve"> </w:t>
      </w:r>
      <w:r>
        <w:t xml:space="preserve">alerts into 1 incident and recovers the Lambda → assumed-role session → S3 chain that occurs over</w:t>
      </w:r>
      <w:r>
        <w:t xml:space="preserve"> </w:t>
      </w:r>
      <w:r>
        <w:t xml:space="preserve">minutes and across log boundaries.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LLM is a triage agent, not a prose generator.</w:t>
      </w:r>
      <w:r>
        <w:t xml:space="preserve"> </w:t>
      </w:r>
      <w:r>
        <w:t xml:space="preserve">It returns</w:t>
      </w:r>
      <w:r>
        <w:t xml:space="preserve"> </w:t>
      </w:r>
      <w:r>
        <w:rPr>
          <w:i/>
          <w:iCs/>
        </w:rPr>
        <w:t xml:space="preserve">validated structured JSON</w:t>
      </w:r>
      <w:r>
        <w:t xml:space="preserve"> </w:t>
      </w:r>
      <w:r>
        <w:t xml:space="preserve">(intent, confidence, MITRE techniques, guardrails) under a strict schema with retry and a templated</w:t>
      </w:r>
      <w:r>
        <w:t xml:space="preserve"> </w:t>
      </w:r>
      <w:r>
        <w:t xml:space="preserve">fallback. Responses are cached so the live demo never depends on a network call.</w:t>
      </w:r>
    </w:p>
    <w:bookmarkEnd w:id="23"/>
    <w:bookmarkStart w:id="24" w:name="X072c702fd0f244a76d1476b4bc23bcfccb3cc7a"/>
    <w:p>
      <w:pPr>
        <w:pStyle w:val="Heading3"/>
      </w:pPr>
      <w:r>
        <w:t xml:space="preserve">The critical ordering catch — score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clustering</w:t>
      </w:r>
    </w:p>
    <w:p>
      <w:pPr>
        <w:pStyle w:val="FirstParagraph"/>
      </w:pPr>
      <w:r>
        <w:t xml:space="preserve">Three individually low-scoring events from the same principal in the same five-minute window can be one</w:t>
      </w:r>
      <w:r>
        <w:t xml:space="preserve"> </w:t>
      </w:r>
      <w:r>
        <w:t xml:space="preserve">high-severity incident</w:t>
      </w:r>
      <w:r>
        <w:t xml:space="preserve"> </w:t>
      </w:r>
      <w:r>
        <w:rPr>
          <w:i/>
          <w:iCs/>
        </w:rPr>
        <w:t xml:space="preserve">together</w:t>
      </w:r>
      <w:r>
        <w:t xml:space="preserve">. Per-event scoring before clustering misses that. Risk scoring</w:t>
      </w:r>
      <w:r>
        <w:t xml:space="preserve"> </w:t>
      </w:r>
      <w:r>
        <w:t xml:space="preserve">therefore happens at the</w:t>
      </w:r>
      <w:r>
        <w:t xml:space="preserve"> </w:t>
      </w:r>
      <w:r>
        <w:rPr>
          <w:b/>
          <w:bCs/>
        </w:rPr>
        <w:t xml:space="preserve">incident level, after correlation</w:t>
      </w:r>
      <w:r>
        <w:t xml:space="preserve"> </w:t>
      </w:r>
      <w:r>
        <w:t xml:space="preserve">— never before.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9" w:name="how-each-stage-works"/>
    <w:p>
      <w:pPr>
        <w:pStyle w:val="Heading2"/>
      </w:pPr>
      <w:r>
        <w:t xml:space="preserve">4. How Each Stage Works</w:t>
      </w:r>
    </w:p>
    <w:p>
      <w:pPr>
        <w:pStyle w:val="FirstParagraph"/>
      </w:pPr>
      <w:r>
        <w:rPr>
          <w:b/>
          <w:bCs/>
        </w:rPr>
        <w:t xml:space="preserve">Stage 0 — Data simulation.</w:t>
      </w:r>
      <w:r>
        <w:t xml:space="preserve"> </w:t>
      </w:r>
      <w:r>
        <w:t xml:space="preserve">Generates three labeled, synthetic log streams (CloudTrail,</w:t>
      </w:r>
      <w:r>
        <w:t xml:space="preserve"> </w:t>
      </w:r>
      <w:r>
        <w:rPr>
          <w:rStyle w:val="VerbatimChar"/>
        </w:rPr>
        <w:t xml:space="preserve">audit.k8s.io</w:t>
      </w:r>
      <w:r>
        <w:t xml:space="preserve">, Okta-style IdP — 9,857 events over a 5-day span, fixed seed 1337). Built</w:t>
      </w:r>
      <w:r>
        <w:t xml:space="preserve"> </w:t>
      </w:r>
      <w:r>
        <w:t xml:space="preserve">ground-truth-first: the real incident structure is constructed first, then every record and label is</w:t>
      </w:r>
      <w:r>
        <w:t xml:space="preserve"> </w:t>
      </w:r>
      <w:r>
        <w:t xml:space="preserve">derived from it. Each row carries</w:t>
      </w:r>
      <w:r>
        <w:t xml:space="preserve"> </w:t>
      </w:r>
      <w:r>
        <w:rPr>
          <w:rStyle w:val="VerbatimChar"/>
        </w:rPr>
        <w:t xml:space="preserve">is_risky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cohort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campaign_id</w:t>
      </w:r>
      <w:r>
        <w:t xml:space="preserve"> </w:t>
      </w:r>
      <w:r>
        <w:t xml:space="preserve">(shared</w:t>
      </w:r>
      <w:r>
        <w:t xml:space="preserve"> </w:t>
      </w:r>
      <w:r>
        <w:t xml:space="preserve">across all events of one attack, across all three sources). Schemas are grounded field-by-field in real</w:t>
      </w:r>
      <w:r>
        <w:t xml:space="preserve"> </w:t>
      </w:r>
      <w:r>
        <w:t xml:space="preserve">AWS / Kubernetes / Okta record formats. A 16-check validator gates the dataset.</w:t>
      </w:r>
    </w:p>
    <w:p>
      <w:pPr>
        <w:pStyle w:val="BodyText"/>
      </w:pPr>
      <w:r>
        <w:rPr>
          <w:b/>
          <w:bCs/>
        </w:rPr>
        <w:t xml:space="preserve">Stage 1 — Ingest + enrich.</w:t>
      </w:r>
      <w:r>
        <w:t xml:space="preserve"> </w:t>
      </w:r>
      <w:r>
        <w:t xml:space="preserve">Normalizes all three sources into one unified schema, assigns behavioral</w:t>
      </w:r>
      <w:r>
        <w:t xml:space="preserve"> </w:t>
      </w:r>
      <w:r>
        <w:t xml:space="preserve">cohorts via deterministic rules (K8s service-account → CloudTrail role → IdP email prefix → source-IP</w:t>
      </w:r>
      <w:r>
        <w:t xml:space="preserve"> </w:t>
      </w:r>
      <w:r>
        <w:t xml:space="preserve">CIDR), and computes the eight context features (burst rate, novelty, tag completeness, privilege,</w:t>
      </w:r>
      <w:r>
        <w:t xml:space="preserve"> </w:t>
      </w:r>
      <w:r>
        <w:t xml:space="preserve">exposure, off-hours, cohort deviation). Principals matching no known cohort become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itself a</w:t>
      </w:r>
      <w:r>
        <w:rPr>
          <w:i/>
          <w:iCs/>
        </w:rPr>
        <w:t xml:space="preserve"> </w:t>
      </w:r>
      <w:r>
        <w:rPr>
          <w:i/>
          <w:iCs/>
        </w:rPr>
        <w:t xml:space="preserve">signal</w:t>
      </w:r>
      <w:r>
        <w:t xml:space="preserve">, not silently forced into the wrong baseline.</w:t>
      </w:r>
    </w:p>
    <w:p>
      <w:pPr>
        <w:pStyle w:val="CaptionedFigure"/>
      </w:pPr>
      <w:r>
        <w:drawing>
          <wp:inline>
            <wp:extent cx="5334000" cy="3005301"/>
            <wp:effectExtent b="0" l="0" r="0" t="0"/>
            <wp:docPr descr="Behavioral cohorts — size vs risky fraction" title="" id="27" name="Picture"/>
            <a:graphic>
              <a:graphicData uri="http://schemas.openxmlformats.org/drawingml/2006/picture">
                <pic:pic>
                  <pic:nvPicPr>
                    <pic:cNvPr descr="figures/cohort_risk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5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Behavioral cohorts — size vs risky fraction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cohort is the proof: all 629 of its events are the identity-anomaly attack (100% risky).</w:t>
      </w:r>
      <w:r>
        <w:t xml:space="preserve"> </w:t>
      </w:r>
      <w:r>
        <w:t xml:space="preserve">“Fits no cohort baseline”</w:t>
      </w:r>
      <w:r>
        <w:t xml:space="preserve"> </w:t>
      </w:r>
      <w:r>
        <w:t xml:space="preserve">is not noise to be cleaned up —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detection signal. Cohort accuracy</w:t>
      </w:r>
      <w:r>
        <w:t xml:space="preserve"> </w:t>
      </w:r>
      <w:r>
        <w:t xml:space="preserve">on the 9,228 recognizable principals is 100%.</w:t>
      </w:r>
    </w:p>
    <w:p>
      <w:pPr>
        <w:pStyle w:val="BodyText"/>
      </w:pPr>
      <w:r>
        <w:rPr>
          <w:b/>
          <w:bCs/>
        </w:rPr>
        <w:t xml:space="preserve">Stage 2 — Detection.</w:t>
      </w:r>
      <w:r>
        <w:t xml:space="preserve"> </w:t>
      </w:r>
      <w:r>
        <w:t xml:space="preserve">Always-on</w:t>
      </w:r>
      <w:r>
        <w:t xml:space="preserve"> </w:t>
      </w:r>
      <w:r>
        <w:rPr>
          <w:b/>
          <w:bCs/>
        </w:rPr>
        <w:t xml:space="preserve">tripwires</w:t>
      </w:r>
      <w:r>
        <w:t xml:space="preserve"> </w:t>
      </w:r>
      <w:r>
        <w:t xml:space="preserve">force a severity floor (NodePort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, bare</w:t>
      </w:r>
      <w:r>
        <w:t xml:space="preserve"> </w:t>
      </w:r>
      <w:r>
        <w:t xml:space="preserve">privileged pod,</w:t>
      </w:r>
      <w:r>
        <w:t xml:space="preserve"> </w:t>
      </w:r>
      <w:r>
        <w:rPr>
          <w:rStyle w:val="VerbatimChar"/>
        </w:rPr>
        <w:t xml:space="preserve">burst_rate &gt; 10</w:t>
      </w:r>
      <w:r>
        <w:t xml:space="preserve">, broad RBAC, and</w:t>
      </w:r>
      <w:r>
        <w:t xml:space="preserve"> </w:t>
      </w:r>
      <w:r>
        <w:rPr>
          <w:rStyle w:val="VerbatimChar"/>
        </w:rPr>
        <w:t xml:space="preserve">cohort == unknown</w:t>
      </w:r>
      <w:r>
        <w:t xml:space="preserve">). A recall-first</w:t>
      </w:r>
      <w:r>
        <w:t xml:space="preserve"> </w:t>
      </w:r>
      <w:r>
        <w:rPr>
          <w:b/>
          <w:bCs/>
        </w:rPr>
        <w:t xml:space="preserve">ensemble</w:t>
      </w:r>
      <w:r>
        <w:t xml:space="preserve"> </w:t>
      </w:r>
      <w:r>
        <w:t xml:space="preserve">(Isolation Forest primary + ECOD second vote, scores min-max normalized and averaged) flags the top</w:t>
      </w:r>
      <w:r>
        <w:t xml:space="preserve"> </w:t>
      </w:r>
      <w:r>
        <w:t xml:space="preserve">candidates. A no-ML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pass drops candidates that are cohort-normal.</w:t>
      </w:r>
    </w:p>
    <w:p>
      <w:pPr>
        <w:pStyle w:val="CaptionedFigure"/>
      </w:pPr>
      <w:r>
        <w:drawing>
          <wp:inline>
            <wp:extent cx="5334000" cy="1974889"/>
            <wp:effectExtent b="0" l="0" r="0" t="0"/>
            <wp:docPr descr="Anomaly-model output — benign vs risky score distributions" title="" id="30" name="Picture"/>
            <a:graphic>
              <a:graphicData uri="http://schemas.openxmlformats.org/drawingml/2006/picture">
                <pic:pic>
                  <pic:nvPicPr>
                    <pic:cNvPr descr="figures/ensemble_scor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4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Anomaly-model output — benign vs risky score distributions</w:t>
      </w:r>
    </w:p>
    <w:p>
      <w:pPr>
        <w:pStyle w:val="BodyText"/>
      </w:pPr>
      <w:r>
        <w:t xml:space="preserve">The ensemble shifts risky events to higher scores, but — honestly — the populations</w:t>
      </w:r>
      <w:r>
        <w:t xml:space="preserve"> </w:t>
      </w:r>
      <w:r>
        <w:rPr>
          <w:i/>
          <w:iCs/>
        </w:rPr>
        <w:t xml:space="preserve">overlap</w:t>
      </w:r>
      <w:r>
        <w:t xml:space="preserve">. That</w:t>
      </w:r>
      <w:r>
        <w:t xml:space="preserve"> </w:t>
      </w:r>
      <w:r>
        <w:t xml:space="preserve">overlap is the confusability thesis in action, not a model failure: the right tail is clearly more</w:t>
      </w:r>
      <w:r>
        <w:t xml:space="preserve"> </w:t>
      </w:r>
      <w:r>
        <w:t xml:space="preserve">risky, but the ambiguous middle is exactly what the cohort suppression and graph correlation stages</w:t>
      </w:r>
      <w:r>
        <w:t xml:space="preserve"> </w:t>
      </w:r>
      <w:r>
        <w:t xml:space="preserve">resolve downstream.</w:t>
      </w:r>
    </w:p>
    <w:p>
      <w:pPr>
        <w:pStyle w:val="BodyText"/>
      </w:pPr>
      <w:r>
        <w:rPr>
          <w:b/>
          <w:bCs/>
        </w:rPr>
        <w:t xml:space="preserve">Stage 3 — Correlation.</w:t>
      </w:r>
      <w:r>
        <w:t xml:space="preserve"> </w:t>
      </w:r>
      <w:r>
        <w:t xml:space="preserve">Builds an event-node graph with time-gated typed edges (</w:t>
      </w:r>
      <w:r>
        <w:rPr>
          <w:rStyle w:val="VerbatimChar"/>
        </w:rPr>
        <w:t xml:space="preserve">same_principal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same_resource</w:t>
      </w:r>
      <w:r>
        <w:t xml:space="preserve">), each enforcing the</w:t>
      </w:r>
      <w:r>
        <w:t xml:space="preserve"> </w:t>
      </w:r>
      <w:r>
        <w:t xml:space="preserve">identity + namespace + time envelope at edge-creation time. Incidents are connected components seeded</w:t>
      </w:r>
      <w:r>
        <w:t xml:space="preserve"> </w:t>
      </w:r>
      <w:r>
        <w:t xml:space="preserve">from flagged events with one-hop bridge expansion. This both collapses noise</w:t>
      </w:r>
      <w:r>
        <w:t xml:space="preserve"> </w:t>
      </w:r>
      <w:r>
        <w:rPr>
          <w:b/>
          <w:bCs/>
        </w:rPr>
        <w:t xml:space="preserve">and recovers missed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detections</w:t>
      </w:r>
      <w:r>
        <w:t xml:space="preserve"> </w:t>
      </w:r>
      <w:r>
        <w:t xml:space="preserve">— benign bridge events one hop from a flagged seed pull the missed true positives back in.</w:t>
      </w:r>
    </w:p>
    <w:p>
      <w:pPr>
        <w:pStyle w:val="CaptionedFigure"/>
      </w:pPr>
      <w:r>
        <w:drawing>
          <wp:inline>
            <wp:extent cx="5334000" cy="3470753"/>
            <wp:effectExtent b="0" l="0" r="0" t="0"/>
            <wp:docPr descr="Cross-source correlation of one incident" title="" id="33" name="Picture"/>
            <a:graphic>
              <a:graphicData uri="http://schemas.openxmlformats.org/drawingml/2006/picture">
                <pic:pic>
                  <pic:nvPicPr>
                    <pic:cNvPr descr="figures/graph_inciden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Cross-source correlation of one incident</w:t>
      </w:r>
    </w:p>
    <w:p>
      <w:pPr>
        <w:pStyle w:val="BodyText"/>
      </w:pPr>
      <w:r>
        <w:t xml:space="preserve">This is the payoff time-window clustering cannot reach: an IdP login, an</w:t>
      </w:r>
      <w:r>
        <w:t xml:space="preserve"> </w:t>
      </w:r>
      <w:r>
        <w:rPr>
          <w:rStyle w:val="VerbatimChar"/>
        </w:rPr>
        <w:t xml:space="preserve">AssumeRoleWithWebIdentity</w:t>
      </w:r>
      <w:r>
        <w:t xml:space="preserve">,</w:t>
      </w:r>
      <w:r>
        <w:t xml:space="preserve"> </w:t>
      </w:r>
      <w:r>
        <w:t xml:space="preserve">and three S3</w:t>
      </w:r>
      <w:r>
        <w:t xml:space="preserve"> </w:t>
      </w:r>
      <w:r>
        <w:rPr>
          <w:rStyle w:val="VerbatimChar"/>
        </w:rPr>
        <w:t xml:space="preserve">GetObject</w:t>
      </w:r>
      <w:r>
        <w:t xml:space="preserve"> </w:t>
      </w:r>
      <w:r>
        <w:t xml:space="preserve">calls — one session, two log sources, minutes apart — recovered as a single</w:t>
      </w:r>
      <w:r>
        <w:t xml:space="preserve"> </w:t>
      </w:r>
      <w:r>
        <w:t xml:space="preserve">incident via</w:t>
      </w:r>
      <w:r>
        <w:t xml:space="preserve"> </w:t>
      </w:r>
      <w:r>
        <w:rPr>
          <w:rStyle w:val="VerbatimChar"/>
        </w:rPr>
        <w:t xml:space="preserve">same_principal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shared_event</w:t>
      </w:r>
      <w:r>
        <w:t xml:space="preserve"> </w:t>
      </w:r>
      <w:r>
        <w:t xml:space="preserve">links.</w:t>
      </w:r>
    </w:p>
    <w:p>
      <w:pPr>
        <w:pStyle w:val="BodyText"/>
      </w:pPr>
      <w:r>
        <w:rPr>
          <w:b/>
          <w:bCs/>
        </w:rPr>
        <w:t xml:space="preserve">Stage 4 — Risk fusion.</w:t>
      </w:r>
      <w:r>
        <w:t xml:space="preserve"> </w:t>
      </w:r>
      <w:r>
        <w:t xml:space="preserve">Computes a</w:t>
      </w:r>
      <w:r>
        <w:t xml:space="preserve"> </w:t>
      </w:r>
      <w:r>
        <w:rPr>
          <w:b/>
          <w:bCs/>
        </w:rPr>
        <w:t xml:space="preserve">label-free</w:t>
      </w:r>
      <w:r>
        <w:t xml:space="preserve"> </w:t>
      </w:r>
      <w:r>
        <w:t xml:space="preserve">event-level raw risk (fixed-weight fusion of</w:t>
      </w:r>
      <w:r>
        <w:t xml:space="preserve"> </w:t>
      </w:r>
      <w:r>
        <w:t xml:space="preserve">anomaly score, tripwire signal, exposure, privilege, novelty), calibrates it to a probability via</w:t>
      </w:r>
      <w:r>
        <w:t xml:space="preserve"> </w:t>
      </w:r>
      <w:r>
        <w:rPr>
          <w:b/>
          <w:bCs/>
        </w:rPr>
        <w:t xml:space="preserve">out-of-fold isotonic regression</w:t>
      </w:r>
      <w:r>
        <w:t xml:space="preserve"> </w:t>
      </w:r>
      <w:r>
        <w:t xml:space="preserve">(the one sanctioned label touch — no event is scored by a model</w:t>
      </w:r>
      <w:r>
        <w:t xml:space="preserve"> </w:t>
      </w:r>
      <w:r>
        <w:t xml:space="preserve">that saw its label), then aggregates to an incident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0.7·max + 0.3·mean</w:t>
      </w:r>
      <w:r>
        <w:t xml:space="preserve"> </w:t>
      </w:r>
      <w:r>
        <w:t xml:space="preserve">of member</w:t>
      </w:r>
      <w:r>
        <w:t xml:space="preserve"> </w:t>
      </w:r>
      <w:r>
        <w:t xml:space="preserve">probabilities) with severity bands and a tripwire floor.</w:t>
      </w:r>
    </w:p>
    <w:p>
      <w:pPr>
        <w:pStyle w:val="CaptionedFigure"/>
      </w:pPr>
      <w:r>
        <w:drawing>
          <wp:inline>
            <wp:extent cx="5334000" cy="4937815"/>
            <wp:effectExtent b="0" l="0" r="0" t="0"/>
            <wp:docPr descr="Risk calibration — predicted vs observed" title="" id="36" name="Picture"/>
            <a:graphic>
              <a:graphicData uri="http://schemas.openxmlformats.org/drawingml/2006/picture">
                <pic:pic>
                  <pic:nvPicPr>
                    <pic:cNvPr descr="figures/calibra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7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 calibration — predicted vs observed</w:t>
      </w:r>
    </w:p>
    <w:p>
      <w:pPr>
        <w:pStyle w:val="BodyText"/>
      </w:pPr>
      <w:r>
        <w:t xml:space="preserve">Calibration is near-perfect: across ten event bins the predicted probability tracks the observed risky</w:t>
      </w:r>
      <w:r>
        <w:t xml:space="preserve"> </w:t>
      </w:r>
      <w:r>
        <w:t xml:space="preserve">rate with a maximum deviation of</w:t>
      </w:r>
      <w:r>
        <w:t xml:space="preserve"> </w:t>
      </w:r>
      <w:r>
        <w:rPr>
          <w:b/>
          <w:bCs/>
        </w:rPr>
        <w:t xml:space="preserve">0.016</w:t>
      </w:r>
      <w:r>
        <w:t xml:space="preserve">. A</w:t>
      </w:r>
      <w:r>
        <w:t xml:space="preserve"> </w:t>
      </w:r>
      <w:r>
        <w:rPr>
          <w:rStyle w:val="VerbatimChar"/>
        </w:rPr>
        <w:t xml:space="preserve">p_event</w:t>
      </w:r>
      <w:r>
        <w:t xml:space="preserve"> </w:t>
      </w:r>
      <w:r>
        <w:t xml:space="preserve">of 0.8 really does mean ~80% likely-malicious,</w:t>
      </w:r>
      <w:r>
        <w:t xml:space="preserve"> </w:t>
      </w:r>
      <w:r>
        <w:t xml:space="preserve">so the ranked incident queue is meaningfully ordered.</w:t>
      </w:r>
    </w:p>
    <w:p>
      <w:pPr>
        <w:pStyle w:val="BodyText"/>
      </w:pPr>
      <w:r>
        <w:rPr>
          <w:b/>
          <w:bCs/>
        </w:rPr>
        <w:t xml:space="preserve">Stage 5 — LLM triage.</w:t>
      </w:r>
      <w:r>
        <w:t xml:space="preserve"> </w:t>
      </w:r>
      <w:r>
        <w:t xml:space="preserve">Builds an evidence bundle per CRITICAL/HIGH incident and asks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(strict JSON-schema structured output) for intent, confidence, MITRE techniques, disambiguation,</w:t>
      </w:r>
      <w:r>
        <w:t xml:space="preserve"> </w:t>
      </w:r>
      <w:r>
        <w:t xml:space="preserve">evidence, and guardrails. Validated, retried, cached per incident, with a deterministic label-free</w:t>
      </w:r>
      <w:r>
        <w:t xml:space="preserve"> </w:t>
      </w:r>
      <w:r>
        <w:t xml:space="preserve">template fallback so the stage never crashes and reruns cost nothing.</w:t>
      </w:r>
    </w:p>
    <w:p>
      <w:pPr>
        <w:pStyle w:val="BodyText"/>
      </w:pPr>
      <w:r>
        <w:rPr>
          <w:b/>
          <w:bCs/>
        </w:rPr>
        <w:t xml:space="preserve">Stage 6 — Dashboard.</w:t>
      </w:r>
      <w:r>
        <w:t xml:space="preserve"> </w:t>
      </w:r>
      <w:r>
        <w:t xml:space="preserve">A React 19 + Vite + Tailwind SOC console (</w:t>
      </w:r>
      <w:r>
        <w:t xml:space="preserve">“EphemeraLens”</w:t>
      </w:r>
      <w:r>
        <w:t xml:space="preserve">) fed by</w:t>
      </w:r>
      <w:r>
        <w:t xml:space="preserve"> </w:t>
      </w:r>
      <w:r>
        <w:rPr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exported from the pipeline — no live model or LLM in the demo path. Headline feature: a</w:t>
      </w:r>
      <w:r>
        <w:t xml:space="preserve"> </w:t>
      </w:r>
      <w:r>
        <w:t xml:space="preserve">real-time</w:t>
      </w:r>
      <w:r>
        <w:t xml:space="preserve"> </w:t>
      </w:r>
      <w:r>
        <w:rPr>
          <w:b/>
          <w:bCs/>
        </w:rPr>
        <w:t xml:space="preserve">replay simulation</w:t>
      </w:r>
      <w:r>
        <w:t xml:space="preserve"> </w:t>
      </w:r>
      <w:r>
        <w:t xml:space="preserve">that plays the 5-day event stream against a virtual clock, forming</w:t>
      </w:r>
      <w:r>
        <w:t xml:space="preserve"> </w:t>
      </w:r>
      <w:r>
        <w:t xml:space="preserve">incidents live and contrasting pipeline detection time against the next daily scan.</w:t>
      </w:r>
    </w:p>
    <w:bookmarkStart w:id="38" w:name="data-artifacts-what-each-stage-writes"/>
    <w:p>
      <w:pPr>
        <w:pStyle w:val="Heading3"/>
      </w:pPr>
      <w:r>
        <w:t xml:space="preserve">Data artifacts — what each stage writes</w:t>
      </w:r>
    </w:p>
    <w:p>
      <w:pPr>
        <w:pStyle w:val="FirstParagraph"/>
      </w:pPr>
      <w:r>
        <w:t xml:space="preserve">The pipeline persists every stage to Parquet, so each transform is independently inspectable and</w:t>
      </w:r>
      <w:r>
        <w:t xml:space="preserve"> </w:t>
      </w:r>
      <w:r>
        <w:t xml:space="preserve">1:1-joinable on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incident_id</w:t>
      </w:r>
      <w:r>
        <w:t xml:space="preserve">. The backbone tables: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Rows × cols</w:t>
            </w:r>
          </w:p>
        </w:tc>
        <w:tc>
          <w:tcPr/>
          <w:p>
            <w:pPr>
              <w:pStyle w:val="Compact"/>
            </w:pPr>
            <w:r>
              <w:t xml:space="preserve">Key columns (beyond the unified event schema)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events_enriched.parquet</w:t>
            </w:r>
          </w:p>
        </w:tc>
        <w:tc>
          <w:tcPr/>
          <w:p>
            <w:pPr>
              <w:pStyle w:val="Compact"/>
            </w:pPr>
            <w:r>
              <w:t xml:space="preserve">9,857 × 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burst_rate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principal_novelty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tag_completeness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privilege_level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public_exposure_flag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exposure_window_s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off_hours_flag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cohort_deviation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detections.parquet</w:t>
            </w:r>
          </w:p>
        </w:tc>
        <w:tc>
          <w:tcPr/>
          <w:p>
            <w:pPr>
              <w:pStyle w:val="Compact"/>
            </w:pPr>
            <w:r>
              <w:t xml:space="preserve">9,857 × 51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tripwire_hit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severity_floor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ecod_score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is_suppressed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predicted_risky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incidents_scored.parquet</w:t>
            </w:r>
          </w:p>
        </w:tc>
        <w:tc>
          <w:tcPr/>
          <w:p>
            <w:pPr>
              <w:pStyle w:val="Compact"/>
            </w:pPr>
            <w:r>
              <w:t xml:space="preserve">529 × 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member_record_ids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source_{cloudtrail,k8s,idp}_count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risk_band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risk_rank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events_scored.parquet</w:t>
            </w:r>
          </w:p>
        </w:tc>
        <w:tc>
          <w:tcPr/>
          <w:p>
            <w:pPr>
              <w:pStyle w:val="Compact"/>
            </w:pPr>
            <w:r>
              <w:t xml:space="preserve">9,857 ×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raw_risk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p_event</w:t>
            </w:r>
            <w:r>
              <w:t xml:space="preserve"> </w:t>
            </w:r>
            <w:r>
              <w:t xml:space="preserve">(calibrated probability)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incidents_triaged.parquet</w:t>
            </w:r>
          </w:p>
        </w:tc>
        <w:tc>
          <w:tcPr/>
          <w:p>
            <w:pPr>
              <w:pStyle w:val="Compact"/>
            </w:pPr>
            <w:r>
              <w:t xml:space="preserve">263 ×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likely_intent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mitre[]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key_evidence[]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disambiguation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recommended_guardrails[]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triage_source</w:t>
            </w:r>
          </w:p>
        </w:tc>
      </w:tr>
    </w:tbl>
    <w:p>
      <w:pPr>
        <w:pStyle w:val="BodyText"/>
      </w:pPr>
      <w:r>
        <w:t xml:space="preserve">The unified event schema (carried by every enriched/detection row) spans identity (</w:t>
      </w:r>
      <w:r>
        <w:rPr>
          <w:rStyle w:val="VerbatimChar"/>
        </w:rPr>
        <w:t xml:space="preserve">record_id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principal_id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arn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role_name</w:t>
      </w:r>
      <w:r>
        <w:t xml:space="preserve">), AWS/IAM (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session_ttl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assumed_role_id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shared_event_id</w:t>
      </w:r>
      <w:r>
        <w:t xml:space="preserve">), Kubernetes (</w:t>
      </w:r>
      <w:r>
        <w:rPr>
          <w:rStyle w:val="VerbatimChar"/>
        </w:rPr>
        <w:t xml:space="preserve">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controller_owner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privileged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exposed_open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rbac_change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broad_rbac</w:t>
      </w:r>
      <w:r>
        <w:t xml:space="preserve">), network/session (</w:t>
      </w:r>
      <w:r>
        <w:rPr>
          <w:rStyle w:val="VerbatimChar"/>
        </w:rPr>
        <w:t xml:space="preserve">source_ip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public_ip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external_session_id</w:t>
      </w:r>
      <w:r>
        <w:t xml:space="preserve">), and resource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resource_id</w:t>
      </w:r>
      <w:r>
        <w:t xml:space="preserve">/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is_spot</w:t>
      </w:r>
      <w:r>
        <w:t xml:space="preserve">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read_only</w:t>
      </w:r>
      <w:r>
        <w:t xml:space="preserve">) columns — plus the full original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JSON for forensics.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Each row of the ablation table adds exactly one differentiator, measured against the ground-truth labels</w:t>
      </w:r>
      <w:r>
        <w:t xml:space="preserve"> </w:t>
      </w:r>
      <w:r>
        <w:t xml:space="preserve">we control (9,857 events, 17.3% risky). The table is the single most persuasive artifact — it proves</w:t>
      </w:r>
      <w:r>
        <w:t xml:space="preserve"> </w:t>
      </w:r>
      <w:r>
        <w:t xml:space="preserve">each differentiator earns its place.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Alert 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Tripwires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Stage-1 anomaly ensemble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Stage-2 cohort suppression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Graph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Risk fusion (incident, band ≥ HIGH)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89%</w:t>
            </w:r>
          </w:p>
        </w:tc>
      </w:tr>
    </w:tbl>
    <w:p>
      <w:pPr>
        <w:pStyle w:val="CaptionedFigure"/>
      </w:pPr>
      <w:r>
        <w:drawing>
          <wp:inline>
            <wp:extent cx="5334000" cy="2728396"/>
            <wp:effectExtent b="0" l="0" r="0" t="0"/>
            <wp:docPr descr="Ablation — each differentiator earns its place" title="" id="41" name="Picture"/>
            <a:graphic>
              <a:graphicData uri="http://schemas.openxmlformats.org/drawingml/2006/picture">
                <pic:pic>
                  <pic:nvPicPr>
                    <pic:cNvPr descr="figures/abla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Ablation — each differentiator earns its place</w:t>
      </w:r>
    </w:p>
    <w:p>
      <w:pPr>
        <w:pStyle w:val="BodyText"/>
      </w:pPr>
      <w:r>
        <w:t xml:space="preserve">(Precision and recall are event-level for the first four rows and incident-level for the risk-fusion</w:t>
      </w:r>
      <w:r>
        <w:t xml:space="preserve"> </w:t>
      </w:r>
      <w:r>
        <w:t xml:space="preserve">row — the queue an analyst actually works. Alert reduction is on flags throughout.)</w:t>
      </w:r>
    </w:p>
    <w:p>
      <w:pPr>
        <w:pStyle w:val="BodyText"/>
      </w:pPr>
      <w:r>
        <w:rPr>
          <w:b/>
          <w:bCs/>
        </w:rPr>
        <w:t xml:space="preserve">Headline numbers: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climbs 72% → 100%</w:t>
      </w:r>
      <w:r>
        <w:t xml:space="preserve"> </w:t>
      </w:r>
      <w:r>
        <w:t xml:space="preserve">— graph bridge-expansion recovers detections the anomaly model missed.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Alerts collapse 89%</w:t>
      </w:r>
      <w:r>
        <w:t xml:space="preserve"> </w:t>
      </w:r>
      <w:r>
        <w:t xml:space="preserve">— 4,638 raw flags become 529 correlated incidents. The SOC investigates 529</w:t>
      </w:r>
      <w:r>
        <w:t xml:space="preserve"> </w:t>
      </w:r>
      <w:r>
        <w:t xml:space="preserve">things, not 9,857.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Ranked queue hits precision@50 = 96%</w:t>
      </w:r>
      <w:r>
        <w:t xml:space="preserve"> </w:t>
      </w:r>
      <w:r>
        <w:t xml:space="preserve">(and</w:t>
      </w:r>
      <w:r>
        <w:t xml:space="preserve"> </w:t>
      </w:r>
      <w:r>
        <w:t xml:space="preserve">@10</w:t>
      </w:r>
      <w:r>
        <w:t xml:space="preserve"> </w:t>
      </w:r>
      <w:r>
        <w:t xml:space="preserve">= 90%,</w:t>
      </w:r>
      <w:r>
        <w:t xml:space="preserve"> </w:t>
      </w:r>
      <w:r>
        <w:t xml:space="preserve">@20</w:t>
      </w:r>
      <w:r>
        <w:t xml:space="preserve"> </w:t>
      </w:r>
      <w:r>
        <w:t xml:space="preserve">= 95%) — the brief’s prescribed</w:t>
      </w:r>
      <w:r>
        <w:t xml:space="preserve"> </w:t>
      </w:r>
      <w:r>
        <w:t xml:space="preserve">risk-quality metric (precision@K against injected severity).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Correlation accuracy vs injected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campaign_id</w:t>
      </w:r>
      <w:r>
        <w:rPr>
          <w:b/>
          <w:bCs/>
        </w:rPr>
        <w:t xml:space="preserve">:</w:t>
      </w:r>
      <w:r>
        <w:t xml:space="preserve"> </w:t>
      </w:r>
      <w:r>
        <w:t xml:space="preserve">homogeneity 0.88 / completeness 0.99 /</w:t>
      </w:r>
      <w:r>
        <w:t xml:space="preserve"> </w:t>
      </w:r>
      <w:r>
        <w:rPr>
          <w:b/>
          <w:bCs/>
        </w:rPr>
        <w:t xml:space="preserve">V-measure 0.93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Calibration is near-perfect:</w:t>
      </w:r>
      <w:r>
        <w:t xml:space="preserve"> </w:t>
      </w:r>
      <w:r>
        <w:t xml:space="preserve">in every reliability bin, predicted probability ≈ observed risky rate.</w:t>
      </w:r>
    </w:p>
    <w:p>
      <w:pPr>
        <w:pStyle w:val="CaptionedFigure"/>
      </w:pPr>
      <w:r>
        <w:drawing>
          <wp:inline>
            <wp:extent cx="5334000" cy="3650844"/>
            <wp:effectExtent b="0" l="0" r="0" t="0"/>
            <wp:docPr descr="Risk-ranking quality — precision / recall @ K" title="" id="44" name="Picture"/>
            <a:graphic>
              <a:graphicData uri="http://schemas.openxmlformats.org/drawingml/2006/picture">
                <pic:pic>
                  <pic:nvPicPr>
                    <pic:cNvPr descr="figures/precision_at_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0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Risk-ranking quality — precision / recall @ K</w:t>
      </w:r>
    </w:p>
    <w:p>
      <w:pPr>
        <w:pStyle w:val="BodyText"/>
      </w:pPr>
      <w:r>
        <w:t xml:space="preserve">Precision stays high at the</w:t>
      </w:r>
      <w:r>
        <w:t xml:space="preserve"> </w:t>
      </w:r>
      <w:r>
        <w:rPr>
          <w:i/>
          <w:iCs/>
        </w:rPr>
        <w:t xml:space="preserve">top</w:t>
      </w:r>
      <w:r>
        <w:t xml:space="preserve"> </w:t>
      </w:r>
      <w:r>
        <w:t xml:space="preserve">of the queue — exactly where a SOC analyst starts. This is the honest</w:t>
      </w:r>
      <w:r>
        <w:t xml:space="preserve"> </w:t>
      </w:r>
      <w:r>
        <w:t xml:space="preserve">risk-quality metric, not a single threshold tuned to look good.</w:t>
      </w:r>
    </w:p>
    <w:p>
      <w:pPr>
        <w:pStyle w:val="BodyText"/>
      </w:pPr>
      <w:r>
        <w:rPr>
          <w:b/>
          <w:bCs/>
        </w:rPr>
        <w:t xml:space="preserve">Alert-fatigue funnel:</w:t>
      </w:r>
      <w:r>
        <w:t xml:space="preserve"> </w:t>
      </w:r>
      <w:r>
        <w:t xml:space="preserve">9,857 raw events → 3,517 flagged → 3,167 after suppression →</w:t>
      </w:r>
      <w:r>
        <w:t xml:space="preserve"> </w:t>
      </w:r>
      <w:r>
        <w:rPr>
          <w:b/>
          <w:bCs/>
        </w:rPr>
        <w:t xml:space="preserve">529 correlated</w:t>
      </w:r>
      <w:r>
        <w:rPr>
          <w:b/>
          <w:bCs/>
        </w:rPr>
        <w:t xml:space="preserve"> </w:t>
      </w:r>
      <w:r>
        <w:rPr>
          <w:b/>
          <w:bCs/>
        </w:rPr>
        <w:t xml:space="preserve">incidents</w:t>
      </w:r>
      <w:r>
        <w:t xml:space="preserve"> </w:t>
      </w:r>
      <w:r>
        <w:t xml:space="preserve">→ 263 triaged.</w:t>
      </w:r>
    </w:p>
    <w:p>
      <w:pPr>
        <w:pStyle w:val="CaptionedFigure"/>
      </w:pPr>
      <w:r>
        <w:drawing>
          <wp:inline>
            <wp:extent cx="5334000" cy="3185583"/>
            <wp:effectExtent b="0" l="0" r="0" t="0"/>
            <wp:docPr descr="Alert-fatigue funnel" title="" id="47" name="Picture"/>
            <a:graphic>
              <a:graphicData uri="http://schemas.openxmlformats.org/drawingml/2006/picture">
                <pic:pic>
                  <pic:nvPicPr>
                    <pic:cNvPr descr="figures/alert_funne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Alert-fatigue funnel</w:t>
      </w:r>
    </w:p>
    <w:p>
      <w:pPr>
        <w:pStyle w:val="BodyText"/>
      </w:pPr>
      <w:r>
        <w:rPr>
          <w:b/>
          <w:bCs/>
        </w:rPr>
        <w:t xml:space="preserve">Canonical incident recovery:</w:t>
      </w:r>
      <w:r>
        <w:t xml:space="preserve"> </w:t>
      </w:r>
      <w:r>
        <w:t xml:space="preserve">INC-A (crypto burst) 40 alerts → 1 incident; INC-B (debug pod) 3 → 1;</w:t>
      </w:r>
      <w:r>
        <w:t xml:space="preserve"> </w:t>
      </w:r>
      <w:r>
        <w:t xml:space="preserve">INC-C (compromised session) 7 → 1 (spanning CloudTrail + IdP); INC-D (autoscaler noise) correctly keeps</w:t>
      </w:r>
      <w:r>
        <w:t xml:space="preserve"> </w:t>
      </w:r>
      <w:r>
        <w:t xml:space="preserve">the buried credential-abuse alert as its own HIGH incident while collapsing the surrounding noise.</w:t>
      </w:r>
    </w:p>
    <w:p>
      <w:r>
        <w:pict>
          <v:rect style="width:0;height:1.5pt" o:hralign="center" o:hrstd="t" o:hr="t"/>
        </w:pict>
      </w:r>
    </w:p>
    <w:bookmarkEnd w:id="49"/>
    <w:bookmarkStart w:id="50" w:name="Xcc0fda3aa1e42a0c4bbcce63fea7df454d9eb6b"/>
    <w:p>
      <w:pPr>
        <w:pStyle w:val="Heading2"/>
      </w:pPr>
      <w:r>
        <w:t xml:space="preserve">6. Honest Evaluation — Questions a Judge Should Ask</w:t>
      </w:r>
    </w:p>
    <w:p>
      <w:pPr>
        <w:pStyle w:val="FirstParagraph"/>
      </w:pPr>
      <w:r>
        <w:rPr>
          <w:b/>
          <w:bCs/>
        </w:rPr>
        <w:t xml:space="preserve">“Isn’t detecting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cohort = unknown</w:t>
      </w:r>
      <w:r>
        <w:rPr>
          <w:b/>
          <w:bCs/>
        </w:rPr>
        <w:t xml:space="preserve"> </w:t>
      </w:r>
      <w:r>
        <w:rPr>
          <w:b/>
          <w:bCs/>
        </w:rPr>
        <w:t xml:space="preserve">just detecting a label you injected?”</w:t>
      </w:r>
      <w:r>
        <w:t xml:space="preserve"> </w:t>
      </w:r>
      <w:r>
        <w:t xml:space="preserve">No. Confusability is enforced at</w:t>
      </w:r>
      <w: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time — the figure in §2 shows benign and malicious bursts</w:t>
      </w:r>
      <w:r>
        <w:t xml:space="preserve"> </w:t>
      </w:r>
      <w:r>
        <w:t xml:space="preserve">are statistically indistinguishable in volume and rate. The risk-fusion score is</w:t>
      </w:r>
      <w:r>
        <w:t xml:space="preserve"> </w:t>
      </w:r>
      <w:r>
        <w:rPr>
          <w:b/>
          <w:bCs/>
        </w:rPr>
        <w:t xml:space="preserve">label-free</w:t>
      </w:r>
      <w:r>
        <w:t xml:space="preserve"> </w:t>
      </w:r>
      <w:r>
        <w:t xml:space="preserve">(anomaly</w:t>
      </w:r>
      <w:r>
        <w:t xml:space="preserve"> </w:t>
      </w:r>
      <w:r>
        <w:t xml:space="preserve">score, exposure, privilege, novelty).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sanctioned label touch is out-of-fold isotonic</w:t>
      </w:r>
      <w:r>
        <w:t xml:space="preserve"> </w:t>
      </w:r>
      <w:r>
        <w:t xml:space="preserve">calibration, where no event is scored by a model that saw its label. We detect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; the label</w:t>
      </w:r>
      <w:r>
        <w:t xml:space="preserve"> </w:t>
      </w:r>
      <w:r>
        <w:t xml:space="preserve">is downstream ground truth used to</w:t>
      </w:r>
      <w:r>
        <w:t xml:space="preserve"> </w:t>
      </w:r>
      <w:r>
        <w:rPr>
          <w:i/>
          <w:iCs/>
        </w:rPr>
        <w:t xml:space="preserve">measure</w:t>
      </w:r>
      <w:r>
        <w:t xml:space="preserve">, not to predict.</w:t>
      </w:r>
    </w:p>
    <w:p>
      <w:pPr>
        <w:pStyle w:val="BodyText"/>
      </w:pPr>
      <w:r>
        <w:rPr>
          <w:b/>
          <w:bCs/>
        </w:rPr>
        <w:t xml:space="preserve">“Precision is 68%, but the target was 75%.”</w:t>
      </w:r>
      <w:r>
        <w:t xml:space="preserve"> </w:t>
      </w:r>
      <w:r>
        <w:t xml:space="preserve">68.4% is the deliberately high-recall</w:t>
      </w:r>
      <w:r>
        <w:t xml:space="preserve"> </w:t>
      </w:r>
      <w:r>
        <w:rPr>
          <w:b/>
          <w:bCs/>
        </w:rPr>
        <w:t xml:space="preserve">band cut</w:t>
      </w:r>
      <w:r>
        <w:t xml:space="preserve"> </w:t>
      </w:r>
      <w:r>
        <w:t xml:space="preserve">(</w:t>
      </w:r>
      <w:r>
        <w:rPr>
          <w:rStyle w:val="VerbatimChar"/>
        </w:rPr>
        <w:t xml:space="preserve">band ≥ HIGH</w:t>
      </w:r>
      <w:r>
        <w:t xml:space="preserve">) — by design, a tripwire incident is</w:t>
      </w:r>
      <w:r>
        <w:t xml:space="preserve"> </w:t>
      </w:r>
      <w:r>
        <w:t xml:space="preserve">never silently dismissed. The brief’s actual risk-scoring-quality metric is</w:t>
      </w:r>
      <w:r>
        <w:t xml:space="preserve"> </w:t>
      </w:r>
      <w:r>
        <w:rPr>
          <w:b/>
          <w:bCs/>
        </w:rPr>
        <w:t xml:space="preserve">precision/recall@K against</w:t>
      </w:r>
      <w:r>
        <w:rPr>
          <w:b/>
          <w:bCs/>
        </w:rPr>
        <w:t xml:space="preserve"> </w:t>
      </w:r>
      <w:r>
        <w:rPr>
          <w:b/>
          <w:bCs/>
        </w:rPr>
        <w:t xml:space="preserve">severity</w:t>
      </w:r>
      <w:r>
        <w:t xml:space="preserve">, where the ranked incident queue hits</w:t>
      </w:r>
      <w:r>
        <w:t xml:space="preserve"> </w:t>
      </w:r>
      <w:r>
        <w:rPr>
          <w:b/>
          <w:bCs/>
        </w:rPr>
        <w:t xml:space="preserve">96%</w:t>
      </w:r>
      <w:r>
        <w:rPr>
          <w:b/>
          <w:bCs/>
        </w:rPr>
        <w:t xml:space="preserve"> </w:t>
      </w:r>
      <w:r>
        <w:rPr>
          <w:b/>
          <w:bCs/>
        </w:rPr>
        <w:t xml:space="preserve">@50</w:t>
      </w:r>
      <w:r>
        <w:t xml:space="preserve">. We optimize the ranked queue an analyst</w:t>
      </w:r>
      <w:r>
        <w:t xml:space="preserve"> </w:t>
      </w:r>
      <w:r>
        <w:t xml:space="preserve">actually works top-down, not a single global threshold.</w:t>
      </w:r>
    </w:p>
    <w:p>
      <w:pPr>
        <w:pStyle w:val="BodyText"/>
      </w:pPr>
      <w:r>
        <w:rPr>
          <w:b/>
          <w:bCs/>
        </w:rPr>
        <w:t xml:space="preserve">“It’s all synthetic.”</w:t>
      </w:r>
      <w:r>
        <w:t xml:space="preserve"> </w:t>
      </w:r>
      <w:r>
        <w:t xml:space="preserve">Yes, and that is controlled, not faked. No public dataset carries the labeled ground truth (</w:t>
      </w:r>
      <w:r>
        <w:rPr>
          <w:rStyle w:val="VerbatimChar"/>
        </w:rPr>
        <w:t xml:space="preserve">is_risky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) this problem requires. The simulator is grounded field-by-field in real AWS</w:t>
      </w:r>
      <w:r>
        <w:t xml:space="preserve"> </w:t>
      </w:r>
      <w:r>
        <w:t xml:space="preserve">CloudTrail /</w:t>
      </w:r>
      <w:r>
        <w:t xml:space="preserve"> </w:t>
      </w:r>
      <w:r>
        <w:rPr>
          <w:rStyle w:val="VerbatimChar"/>
        </w:rPr>
        <w:t xml:space="preserve">audit.k8s.io</w:t>
      </w:r>
      <w:r>
        <w:t xml:space="preserve"> </w:t>
      </w:r>
      <w:r>
        <w:t xml:space="preserve">/ Okta schemas and real burst-timing distributions, and every metric is</w:t>
      </w:r>
      <w:r>
        <w:t xml:space="preserve"> </w:t>
      </w:r>
      <w:r>
        <w:t xml:space="preserve">measured against labels we constructed ground-truth-first.</w:t>
      </w:r>
    </w:p>
    <w:p>
      <w:r>
        <w:pict>
          <v:rect style="width:0;height:1.5pt" o:hralign="center" o:hrstd="t" o:hr="t"/>
        </w:pict>
      </w:r>
    </w:p>
    <w:bookmarkEnd w:id="50"/>
    <w:bookmarkStart w:id="54" w:name="framework-alignment"/>
    <w:p>
      <w:pPr>
        <w:pStyle w:val="Heading2"/>
      </w:pPr>
      <w:r>
        <w:t xml:space="preserve">7. Framework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Controls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</w:t>
            </w:r>
          </w:p>
        </w:tc>
        <w:tc>
          <w:tcPr/>
          <w:p>
            <w:pPr>
              <w:pStyle w:val="Compact"/>
            </w:pPr>
            <w:r>
              <w:t xml:space="preserve">CM-8 (system component inventory of ephemeral assets), SI-4 (system monitoring), IR-4 (incident handling)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MITRE ATT&amp;CK</w:t>
            </w:r>
          </w:p>
        </w:tc>
        <w:tc>
          <w:tcPr/>
          <w:p>
            <w:pPr>
              <w:pStyle w:val="Compact"/>
            </w:pPr>
            <w:r>
              <w:t xml:space="preserve">T1496 (Resource Hijacking), T1578 (Modify Cloud Compute Infrastructure), T1190 (Exploit Public-Facing Application), T1610 (Deploy Container), T1078 (Valid 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 Kubernetes Benchmark</w:t>
            </w:r>
          </w:p>
        </w:tc>
        <w:tc>
          <w:tcPr/>
          <w:p>
            <w:pPr>
              <w:pStyle w:val="Compact"/>
            </w:pPr>
            <w:r>
              <w:t xml:space="preserve">privileged-container and network-exposure controls (tripwire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 Art. 32</w:t>
            </w:r>
          </w:p>
        </w:tc>
        <w:tc>
          <w:tcPr/>
          <w:p>
            <w:pPr>
              <w:pStyle w:val="Compact"/>
            </w:pPr>
            <w:r>
              <w:t xml:space="preserve">security of processing — the PII-exfiltration incident (INC-C) is detected and triaged</w:t>
            </w:r>
          </w:p>
        </w:tc>
      </w:tr>
    </w:tbl>
    <w:p>
      <w:pPr>
        <w:pStyle w:val="BodyText"/>
      </w:pPr>
      <w:r>
        <w:t xml:space="preserve">The MITRE mapping is not hand-waved — it is what the Stage-5 triage agent actually attributes across the</w:t>
      </w:r>
      <w:r>
        <w:t xml:space="preserve"> </w:t>
      </w:r>
      <w:r>
        <w:t xml:space="preserve">triaged incidents:</w:t>
      </w:r>
    </w:p>
    <w:p>
      <w:pPr>
        <w:pStyle w:val="CaptionedFigure"/>
      </w:pPr>
      <w:r>
        <w:drawing>
          <wp:inline>
            <wp:extent cx="5334000" cy="2714478"/>
            <wp:effectExtent b="0" l="0" r="0" t="0"/>
            <wp:docPr descr="MITRE ATT&amp;CK techniques attributed by LLM triage" title="" id="52" name="Picture"/>
            <a:graphic>
              <a:graphicData uri="http://schemas.openxmlformats.org/drawingml/2006/picture">
                <pic:pic>
                  <pic:nvPicPr>
                    <pic:cNvPr descr="figures/mitre_frequenc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MITRE ATT&amp;CK techniques attributed by LLM triage</w:t>
      </w:r>
    </w:p>
    <w:p>
      <w:r>
        <w:pict>
          <v:rect style="width:0;height:1.5pt" o:hralign="center" o:hrstd="t" o:hr="t"/>
        </w:pict>
      </w:r>
    </w:p>
    <w:bookmarkEnd w:id="54"/>
    <w:bookmarkStart w:id="55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The full pipeline is deterministic (fixed seed 1337) and reproducible end-to-end: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modules.data_simulation.generator.build   </w:t>
      </w:r>
      <w:r>
        <w:rPr>
          <w:rStyle w:val="CommentTok"/>
        </w:rPr>
        <w:t xml:space="preserve"># generate data/raw/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modules.ingest_enrich.build               </w:t>
      </w:r>
      <w:r>
        <w:rPr>
          <w:rStyle w:val="CommentTok"/>
        </w:rPr>
        <w:t xml:space="preserve"># → events_enriched.parquet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modules.detection.build                   </w:t>
      </w:r>
      <w:r>
        <w:rPr>
          <w:rStyle w:val="CommentTok"/>
        </w:rPr>
        <w:t xml:space="preserve"># → detections.parquet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modules.correlation.build                 </w:t>
      </w:r>
      <w:r>
        <w:rPr>
          <w:rStyle w:val="CommentTok"/>
        </w:rPr>
        <w:t xml:space="preserve"># → incidents.parquet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modules.risk_fusion.build                 </w:t>
      </w:r>
      <w:r>
        <w:rPr>
          <w:rStyle w:val="CommentTok"/>
        </w:rPr>
        <w:t xml:space="preserve"># → incidents_scored.parquet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modules.llm_triage.build </w:t>
      </w:r>
      <w:r>
        <w:rPr>
          <w:rStyle w:val="AttributeTok"/>
        </w:rPr>
        <w:t xml:space="preserve">--no-llm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→ incidents_triaged.parquet (offline)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modules.dashboard.build                   </w:t>
      </w:r>
      <w:r>
        <w:rPr>
          <w:rStyle w:val="CommentTok"/>
        </w:rPr>
        <w:t xml:space="preserve"># → frontend/public/data/*.json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modules.dashboard.figures.build_all       </w:t>
      </w:r>
      <w:r>
        <w:rPr>
          <w:rStyle w:val="CommentTok"/>
        </w:rPr>
        <w:t xml:space="preserve"># → docs/figures/*.png (every figure in this report)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50 passed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modules/dashboard/frontend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</w:t>
      </w:r>
      <w:r>
        <w:rPr>
          <w:rStyle w:val="CommentTok"/>
        </w:rPr>
        <w:t xml:space="preserve"># http://localhost:5173/app</w:t>
      </w:r>
    </w:p>
    <w:p>
      <w:pPr>
        <w:pStyle w:val="FirstParagraph"/>
      </w:pPr>
      <w:r>
        <w:t xml:space="preserve">The dashboard reads</w:t>
      </w:r>
      <w:r>
        <w:t xml:space="preserve"> </w:t>
      </w:r>
      <w:r>
        <w:rPr>
          <w:b/>
          <w:bCs/>
        </w:rPr>
        <w:t xml:space="preserve">static JSON</w:t>
      </w:r>
      <w:r>
        <w:t xml:space="preserve"> </w:t>
      </w:r>
      <w:r>
        <w:t xml:space="preserve">exported from the pipeline — no live model or LLM call in the demo</w:t>
      </w:r>
      <w:r>
        <w:t xml:space="preserve"> </w:t>
      </w:r>
      <w:r>
        <w:t xml:space="preserve">path, so it runs fully offline. The LLM triage (</w:t>
      </w:r>
      <w:r>
        <w:rPr>
          <w:rStyle w:val="VerbatimChar"/>
        </w:rPr>
        <w:t xml:space="preserve">gpt-4o-mini</w:t>
      </w:r>
      <w:r>
        <w:t xml:space="preserve">) is pre-generated and cached; the</w:t>
      </w:r>
      <w:r>
        <w:t xml:space="preserve"> </w:t>
      </w:r>
      <w:r>
        <w:rPr>
          <w:rStyle w:val="VerbatimChar"/>
        </w:rPr>
        <w:t xml:space="preserve">--no-llm</w:t>
      </w:r>
      <w:r>
        <w:t xml:space="preserve"> </w:t>
      </w:r>
      <w:r>
        <w:t xml:space="preserve">path and the entire test suite need no API key. Every figure in this report regenerates from</w:t>
      </w:r>
      <w:r>
        <w:t xml:space="preserve"> </w:t>
      </w:r>
      <w:r>
        <w:t xml:space="preserve">the same Parquet artifacts via</w:t>
      </w:r>
      <w:r>
        <w:t xml:space="preserve"> </w:t>
      </w:r>
      <w:r>
        <w:rPr>
          <w:rStyle w:val="VerbatimChar"/>
        </w:rPr>
        <w:t xml:space="preserve">build_all</w:t>
      </w:r>
      <w:r>
        <w:t xml:space="preserve"> </w:t>
      </w:r>
      <w:r>
        <w:t xml:space="preserve">— none are hand-drawn or mocked.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🔗 Live demo:</w:t>
      </w:r>
      <w:r>
        <w:t xml:space="preserve"> </w:t>
      </w:r>
      <w:hyperlink r:id="rId9">
        <w:r>
          <w:rPr>
            <w:rStyle w:val="Hyperlink"/>
          </w:rPr>
          <w:t xml:space="preserve">https://sentinel-rho-sooty.vercel.app/app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📹 Demo video:</w:t>
      </w:r>
      <w:r>
        <w:t xml:space="preserve"> </w:t>
      </w:r>
      <w:r>
        <w:rPr>
          <w:i/>
          <w:iCs/>
        </w:rPr>
        <w:t xml:space="preserve">add link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rPr>
          <w:i/>
          <w:iCs/>
        </w:rPr>
        <w:t xml:space="preserve">add GitHub URL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51" Target="media/rId51.png" /><Relationship Type="http://schemas.openxmlformats.org/officeDocument/2006/relationships/image" Id="rId43" Target="media/rId43.png" /><Relationship Type="http://schemas.openxmlformats.org/officeDocument/2006/relationships/hyperlink" Id="rId19" Target="figures/architecture.png" TargetMode="External" /><Relationship Type="http://schemas.openxmlformats.org/officeDocument/2006/relationships/hyperlink" Id="rId9" Target="https://sentinel-rho-sooty.vercel.app/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gures/architecture.png" TargetMode="External" /><Relationship Type="http://schemas.openxmlformats.org/officeDocument/2006/relationships/hyperlink" Id="rId9" Target="https://sentinel-rho-sooty.vercel.app/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2026-06-21T11:38:04Z</dcterms:created>
  <dcterms:modified xsi:type="dcterms:W3CDTF">2026-06-21T11:38:04Z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