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sz w:val="36"/>
        </w:rPr>
        <w:t>Chapter 04: PolicyCenter Introduction</w:t>
      </w:r>
    </w:p>
    <w:p>
      <w:pPr>
        <w:pStyle w:val="Heading2"/>
      </w:pPr>
      <w:r>
        <w:rPr>
          <w:color w:val="333333"/>
          <w:sz w:val="28"/>
        </w:rPr>
        <w:t>Lesson 1: Accounts</w:t>
      </w:r>
    </w:p>
    <w:p>
      <w:pPr>
        <w:spacing w:after="40"/>
      </w:pPr>
      <w:r>
        <w:rPr>
          <w:i/>
          <w:color w:val="999999"/>
          <w:sz w:val="16"/>
        </w:rPr>
        <w:t>Source: PC_Intro_01_Accounts.pptx</w:t>
      </w:r>
    </w:p>
    <w:p>
      <w:pPr>
        <w:pStyle w:val="Heading3"/>
      </w:pPr>
      <w:r>
        <w:t>Video References</w:t>
      </w:r>
    </w:p>
    <w:p>
      <w:pPr>
        <w:pStyle w:val="ListNumber"/>
      </w:pPr>
      <w:r>
        <w:rPr>
          <w:color w:val="0066CC"/>
          <w:sz w:val="20"/>
        </w:rPr>
        <w:t>[Video 1: In_Policy_07_01.mp4]</w:t>
      </w:r>
    </w:p>
    <w:p>
      <w:pPr>
        <w:pStyle w:val="ListNumber"/>
      </w:pPr>
      <w:r>
        <w:rPr>
          <w:color w:val="0066CC"/>
          <w:sz w:val="20"/>
        </w:rPr>
        <w:t>[Video 2: In_Policy_08_01.mp4]</w:t>
      </w:r>
    </w:p>
    <w:p>
      <w:pPr>
        <w:pStyle w:val="ListNumber"/>
      </w:pPr>
      <w:r>
        <w:rPr>
          <w:color w:val="0066CC"/>
          <w:sz w:val="20"/>
        </w:rPr>
        <w:t>[Video 3: In_Policy_08_02.mp4]</w:t>
      </w:r>
    </w:p>
    <w:p>
      <w:pPr>
        <w:pStyle w:val="ListNumber"/>
      </w:pPr>
      <w:r>
        <w:rPr>
          <w:color w:val="0066CC"/>
          <w:sz w:val="20"/>
        </w:rPr>
        <w:t>[Video 4: In_Policy_09_01.mp4]</w:t>
      </w:r>
    </w:p>
    <w:p>
      <w:pPr>
        <w:pStyle w:val="ListNumber"/>
      </w:pPr>
      <w:r>
        <w:rPr>
          <w:color w:val="0066CC"/>
          <w:sz w:val="20"/>
        </w:rPr>
        <w:t>[Video 5: In_Policy_09_02.mp4]</w:t>
      </w:r>
    </w:p>
    <w:p>
      <w:pPr>
        <w:pStyle w:val="ListNumber"/>
      </w:pPr>
      <w:r>
        <w:rPr>
          <w:color w:val="0066CC"/>
          <w:sz w:val="20"/>
        </w:rPr>
        <w:t>[Video 6: In_Policy_09_03.mp4]</w:t>
      </w:r>
    </w:p>
    <w:p>
      <w:pPr>
        <w:pStyle w:val="ListNumber"/>
      </w:pPr>
      <w:r>
        <w:rPr>
          <w:color w:val="0066CC"/>
          <w:sz w:val="20"/>
        </w:rPr>
        <w:t>[Video 7: In_Policy_10_01.mp4]</w:t>
      </w:r>
    </w:p>
    <w:p>
      <w:pPr>
        <w:pStyle w:val="ListNumber"/>
      </w:pPr>
      <w:r>
        <w:rPr>
          <w:color w:val="0066CC"/>
          <w:sz w:val="20"/>
        </w:rPr>
        <w:t>[Video 8: In_Policy_10_02.mp4]</w:t>
      </w:r>
    </w:p>
    <w:p>
      <w:pPr>
        <w:pStyle w:val="ListNumber"/>
      </w:pPr>
      <w:r>
        <w:rPr>
          <w:color w:val="0066CC"/>
          <w:sz w:val="20"/>
        </w:rPr>
        <w:t>[Video 9: In_Policy_11_01.mp4]</w:t>
      </w:r>
    </w:p>
    <w:p>
      <w:pPr>
        <w:pStyle w:val="ListNumber"/>
      </w:pPr>
      <w:r>
        <w:rPr>
          <w:color w:val="0066CC"/>
          <w:sz w:val="20"/>
        </w:rPr>
        <w:t>[Video 10: In_Policy_12_01.mp4]</w:t>
      </w:r>
    </w:p>
    <w:p>
      <w:pPr>
        <w:pStyle w:val="ListNumber"/>
      </w:pPr>
      <w:r>
        <w:rPr>
          <w:color w:val="0066CC"/>
          <w:sz w:val="20"/>
        </w:rPr>
        <w:t>[Video 11: In_Policy_13_01.mp4]</w:t>
      </w:r>
    </w:p>
    <w:p>
      <w:pPr>
        <w:pStyle w:val="ListNumber"/>
      </w:pPr>
      <w:r>
        <w:rPr>
          <w:color w:val="0066CC"/>
          <w:sz w:val="20"/>
        </w:rPr>
        <w:t>[Video 12: In_Policy_13_02.mp4]</w:t>
      </w:r>
    </w:p>
    <w:p>
      <w:pPr>
        <w:pStyle w:val="ListNumber"/>
      </w:pPr>
      <w:r>
        <w:rPr>
          <w:color w:val="0066CC"/>
          <w:sz w:val="20"/>
        </w:rPr>
        <w:t>[Video 13: In_Policy_13_03.mp4]</w:t>
      </w:r>
    </w:p>
    <w:p>
      <w:pPr>
        <w:pStyle w:val="ListNumber"/>
      </w:pPr>
      <w:r>
        <w:rPr>
          <w:color w:val="0066CC"/>
          <w:sz w:val="20"/>
        </w:rPr>
        <w:t>[Video 14: In_Policy_14_01.mp4]</w:t>
      </w:r>
    </w:p>
    <w:p>
      <w:pPr>
        <w:pStyle w:val="ListNumber"/>
      </w:pPr>
      <w:r>
        <w:rPr>
          <w:color w:val="0066CC"/>
          <w:sz w:val="20"/>
        </w:rPr>
        <w:t>[Video 15: In_Policy_15_01.mp4]</w:t>
      </w:r>
    </w:p>
    <w:p>
      <w:pPr>
        <w:pStyle w:val="ListNumber"/>
      </w:pPr>
      <w:r>
        <w:rPr>
          <w:color w:val="0066CC"/>
          <w:sz w:val="20"/>
        </w:rPr>
        <w:t>[Video 16: In_Policy_16_01.mp4]</w:t>
      </w:r>
    </w:p>
    <w:p>
      <w:pPr>
        <w:pStyle w:val="ListNumber"/>
      </w:pPr>
      <w:r>
        <w:rPr>
          <w:color w:val="0066CC"/>
          <w:sz w:val="20"/>
        </w:rPr>
        <w:t>[Video 17: In_Policy_16_02.mp4]</w:t>
      </w:r>
    </w:p>
    <w:p>
      <w:pPr>
        <w:pStyle w:val="ListNumber"/>
      </w:pPr>
      <w:r>
        <w:rPr>
          <w:color w:val="0066CC"/>
          <w:sz w:val="20"/>
        </w:rPr>
        <w:t>[Video 18: In_Policy_16_03.mp4]</w:t>
      </w:r>
    </w:p>
    <w:p>
      <w:pPr>
        <w:pStyle w:val="ListNumber"/>
      </w:pPr>
      <w:r>
        <w:rPr>
          <w:color w:val="0066CC"/>
          <w:sz w:val="20"/>
        </w:rPr>
        <w:t>[Video 19: In_Policy_17_01.mp4]</w:t>
      </w:r>
    </w:p>
    <w:p>
      <w:pPr>
        <w:pStyle w:val="ListNumber"/>
      </w:pPr>
      <w:r>
        <w:rPr>
          <w:color w:val="0066CC"/>
          <w:sz w:val="20"/>
        </w:rPr>
        <w:t>[Video 20: In_Policy_17_02.mp4]</w:t>
      </w:r>
    </w:p>
    <w:p>
      <w:pPr>
        <w:pStyle w:val="ListNumber"/>
      </w:pPr>
      <w:r>
        <w:rPr>
          <w:color w:val="0066CC"/>
          <w:sz w:val="20"/>
        </w:rPr>
        <w:t>[Video 21: In_Policy_18_01.mp4]</w:t>
      </w:r>
    </w:p>
    <w:p>
      <w:pPr>
        <w:pStyle w:val="ListNumber"/>
      </w:pPr>
      <w:r>
        <w:rPr>
          <w:color w:val="0066CC"/>
          <w:sz w:val="20"/>
        </w:rPr>
        <w:t>[Video 22: In_Policy_19_01.mp4]</w:t>
      </w:r>
    </w:p>
    <w:p>
      <w:pPr>
        <w:pStyle w:val="ListNumber"/>
      </w:pPr>
      <w:r>
        <w:rPr>
          <w:color w:val="0066CC"/>
          <w:sz w:val="20"/>
        </w:rPr>
        <w:t>[Video 23: In_Policy_19_02 .mp4]</w:t>
      </w:r>
    </w:p>
    <w:p>
      <w:pPr>
        <w:pStyle w:val="ListNumber"/>
      </w:pPr>
      <w:r>
        <w:rPr>
          <w:color w:val="0066CC"/>
          <w:sz w:val="20"/>
        </w:rPr>
        <w:t>[Video 24: In_Policy_20_01.mp4]</w:t>
      </w:r>
    </w:p>
    <w:p>
      <w:pPr>
        <w:pStyle w:val="ListNumber"/>
      </w:pPr>
      <w:r>
        <w:rPr>
          <w:color w:val="0066CC"/>
          <w:sz w:val="20"/>
        </w:rPr>
        <w:t>[Video 25: In_Policy_21_01.mp4]</w:t>
      </w:r>
    </w:p>
    <w:p>
      <w:pPr>
        <w:pStyle w:val="ListNumber"/>
      </w:pPr>
      <w:r>
        <w:rPr>
          <w:color w:val="0066CC"/>
          <w:sz w:val="20"/>
        </w:rPr>
        <w:t>[Video 26: In_Policy_21_02.mp4]</w:t>
      </w:r>
    </w:p>
    <w:p>
      <w:pPr>
        <w:pStyle w:val="ListNumber"/>
      </w:pPr>
      <w:r>
        <w:rPr>
          <w:color w:val="0066CC"/>
          <w:sz w:val="20"/>
        </w:rPr>
        <w:t>[Video 27: In_Policy_21_03.mp4]</w:t>
      </w:r>
    </w:p>
    <w:p>
      <w:pPr>
        <w:pStyle w:val="ListNumber"/>
      </w:pPr>
      <w:r>
        <w:rPr>
          <w:color w:val="0066CC"/>
          <w:sz w:val="20"/>
        </w:rPr>
        <w:t>[Video 28: In_Policy_22_01.mp4]</w:t>
      </w:r>
    </w:p>
    <w:p>
      <w:pPr>
        <w:pStyle w:val="ListNumber"/>
      </w:pPr>
      <w:r>
        <w:rPr>
          <w:color w:val="0066CC"/>
          <w:sz w:val="20"/>
        </w:rPr>
        <w:t>[Video 29: In_Policy_23_01.mp4]</w:t>
      </w:r>
    </w:p>
    <w:p>
      <w:pPr>
        <w:pStyle w:val="ListNumber"/>
      </w:pPr>
      <w:r>
        <w:rPr>
          <w:color w:val="0066CC"/>
          <w:sz w:val="20"/>
        </w:rPr>
        <w:t>[Video 30: In_Policy_24_01.mp4]</w:t>
      </w:r>
    </w:p>
    <w:p>
      <w:pPr>
        <w:pStyle w:val="ListNumber"/>
      </w:pPr>
      <w:r>
        <w:rPr>
          <w:color w:val="0066CC"/>
          <w:sz w:val="20"/>
        </w:rPr>
        <w:t>[Video 31: In_Policy_24_02.mp4]</w:t>
      </w:r>
    </w:p>
    <w:p>
      <w:pPr>
        <w:pStyle w:val="ListNumber"/>
      </w:pPr>
      <w:r>
        <w:rPr>
          <w:color w:val="0066CC"/>
          <w:sz w:val="20"/>
        </w:rPr>
        <w:t>[Video 32: In_Policy_25_01.mp4]</w:t>
      </w:r>
    </w:p>
    <w:p>
      <w:pPr>
        <w:pStyle w:val="ListNumber"/>
      </w:pPr>
      <w:r>
        <w:rPr>
          <w:color w:val="0066CC"/>
          <w:sz w:val="20"/>
        </w:rPr>
        <w:t>[Video 33: In_Policy_26_01.mp4]</w:t>
      </w:r>
    </w:p>
    <w:p>
      <w:pPr>
        <w:pStyle w:val="ListNumber"/>
      </w:pPr>
      <w:r>
        <w:rPr>
          <w:color w:val="0066CC"/>
          <w:sz w:val="20"/>
        </w:rPr>
        <w:t>[Video 34: In_Policy_27_01.mp4]</w:t>
      </w:r>
    </w:p>
    <w:p>
      <w:pPr>
        <w:pStyle w:val="ListNumber"/>
      </w:pPr>
      <w:r>
        <w:rPr>
          <w:color w:val="0066CC"/>
          <w:sz w:val="20"/>
        </w:rPr>
        <w:t>[Video 35: In_Policy_28_01.mp4]</w:t>
      </w:r>
    </w:p>
    <w:p>
      <w:pPr>
        <w:pStyle w:val="ListNumber"/>
      </w:pPr>
      <w:r>
        <w:rPr>
          <w:color w:val="0066CC"/>
          <w:sz w:val="20"/>
        </w:rPr>
        <w:t>[Video 36: In_Policy_28_02.mp4]</w:t>
      </w:r>
    </w:p>
    <w:p>
      <w:pPr>
        <w:pStyle w:val="ListNumber"/>
      </w:pPr>
      <w:r>
        <w:rPr>
          <w:color w:val="0066CC"/>
          <w:sz w:val="20"/>
        </w:rPr>
        <w:t>[Video 37: In_Policy_29_01.mp4]</w:t>
      </w:r>
    </w:p>
    <w:p>
      <w:pPr>
        <w:pStyle w:val="ListNumber"/>
      </w:pPr>
      <w:r>
        <w:rPr>
          <w:color w:val="0066CC"/>
          <w:sz w:val="20"/>
        </w:rPr>
        <w:t>[Video 38: In_Policy_30_01.mp4]</w:t>
      </w:r>
    </w:p>
    <w:p>
      <w:pPr>
        <w:pStyle w:val="ListNumber"/>
      </w:pPr>
      <w:r>
        <w:rPr>
          <w:color w:val="0066CC"/>
          <w:sz w:val="20"/>
        </w:rPr>
        <w:t>[Video 39: In_policy_01_01.mp4]</w:t>
      </w:r>
    </w:p>
    <w:p>
      <w:pPr>
        <w:pStyle w:val="ListNumber"/>
      </w:pPr>
      <w:r>
        <w:rPr>
          <w:color w:val="0066CC"/>
          <w:sz w:val="20"/>
        </w:rPr>
        <w:t>[Video 40: In_policy_01_02.mp4]</w:t>
      </w:r>
    </w:p>
    <w:p>
      <w:pPr>
        <w:pStyle w:val="ListNumber"/>
      </w:pPr>
      <w:r>
        <w:rPr>
          <w:color w:val="0066CC"/>
          <w:sz w:val="20"/>
        </w:rPr>
        <w:t>[Video 41: In_policy_03_01.mp4]</w:t>
      </w:r>
    </w:p>
    <w:p>
      <w:pPr>
        <w:pStyle w:val="ListNumber"/>
      </w:pPr>
      <w:r>
        <w:rPr>
          <w:color w:val="0066CC"/>
          <w:sz w:val="20"/>
        </w:rPr>
        <w:t>[Video 42: In_policy_03_02.mp4]</w:t>
      </w:r>
    </w:p>
    <w:p>
      <w:pPr>
        <w:pStyle w:val="ListNumber"/>
      </w:pPr>
      <w:r>
        <w:rPr>
          <w:color w:val="0066CC"/>
          <w:sz w:val="20"/>
        </w:rPr>
        <w:t>[Video 43: In_policy_06_01.mp4]</w:t>
      </w:r>
    </w:p>
    <w:p>
      <w:pPr>
        <w:pStyle w:val="ListNumber"/>
      </w:pPr>
      <w:r>
        <w:rPr>
          <w:color w:val="0066CC"/>
          <w:sz w:val="20"/>
        </w:rPr>
        <w:t>[Video 44: In_policy_06_02.mp4]</w:t>
      </w:r>
    </w:p>
    <w:p>
      <w:pPr>
        <w:pStyle w:val="ListNumber"/>
      </w:pPr>
      <w:r>
        <w:rPr>
          <w:color w:val="0066CC"/>
          <w:sz w:val="20"/>
        </w:rPr>
        <w:t>[Video 45: In_policy_06_03.mp4]</w:t>
      </w:r>
    </w:p>
    <w:p>
      <w:pPr>
        <w:pStyle w:val="ListNumber"/>
      </w:pPr>
      <w:r>
        <w:rPr>
          <w:color w:val="0066CC"/>
          <w:sz w:val="20"/>
        </w:rPr>
        <w:t>[Video 46: In_policy_06_04.mp4]</w:t>
      </w:r>
    </w:p>
    <w:p>
      <w:pPr>
        <w:pStyle w:val="ListNumber"/>
      </w:pPr>
      <w:r>
        <w:rPr>
          <w:color w:val="0066CC"/>
          <w:sz w:val="20"/>
        </w:rPr>
        <w:t>[Video 47: In_policy_06_05.mp4]</w:t>
      </w:r>
    </w:p>
    <w:p/>
    <w:p>
      <w:pPr>
        <w:pStyle w:val="Heading2"/>
      </w:pPr>
      <w:r>
        <w:t>Slide Content</w:t>
      </w:r>
    </w:p>
    <w:p>
      <w:pPr>
        <w:pStyle w:val="Heading3"/>
      </w:pPr>
      <w:r>
        <w:rPr>
          <w:sz w:val="24"/>
        </w:rPr>
        <w:t>Slide 1/23: (Untitled)</w:t>
      </w:r>
    </w:p>
    <w:p>
      <w:r>
        <w:rPr>
          <w:i/>
          <w:color w:val="888888"/>
        </w:rPr>
        <w:t>[Image placeholder]</w:t>
      </w:r>
    </w:p>
    <w:p>
      <w:pPr>
        <w:pStyle w:val="Heading3"/>
      </w:pPr>
      <w:r>
        <w:rPr>
          <w:sz w:val="24"/>
        </w:rPr>
        <w:t>Slide 2/23: (Untitled)</w:t>
      </w:r>
    </w:p>
    <w:p>
      <w:r>
        <w:rPr>
          <w:i/>
          <w:color w:val="888888"/>
        </w:rPr>
        <w:t>[Image placeholder]</w:t>
      </w:r>
    </w:p>
    <w:p>
      <w:pPr>
        <w:pStyle w:val="Heading3"/>
      </w:pPr>
      <w:r>
        <w:rPr>
          <w:sz w:val="24"/>
        </w:rPr>
        <w:t>Slide 3/23: (Untitled)</w:t>
      </w:r>
    </w:p>
    <w:p>
      <w:r>
        <w:rPr>
          <w:i/>
          <w:color w:val="888888"/>
        </w:rPr>
        <w:t>[Image placeholder]</w:t>
      </w:r>
    </w:p>
    <w:p>
      <w:pPr>
        <w:pStyle w:val="Heading3"/>
      </w:pPr>
      <w:r>
        <w:rPr>
          <w:sz w:val="24"/>
        </w:rPr>
        <w:t>Slide 4/23: (Untitled)</w:t>
      </w:r>
    </w:p>
    <w:p>
      <w:r>
        <w:rPr>
          <w:i/>
          <w:color w:val="888888"/>
        </w:rPr>
        <w:t>[Image placeholder]</w:t>
      </w:r>
    </w:p>
    <w:p>
      <w:pPr>
        <w:spacing w:before="80" w:after="80"/>
        <w:shd w:fill="E8E8E8" w:val="clear"/>
      </w:pPr>
      <w:r>
        <w:rPr>
          <w:i/>
          <w:color w:val="444444"/>
          <w:sz w:val="18"/>
        </w:rPr>
        <w:t>Speaker Notes: Accounts provide the ability to keep customer information separate from policies. An account gives PolicyCenter users the flexibility to create and manage a customer's account independent of any policies that may be associated with the account. The ability to manage an account separately from a policy is useful when providing both policies and accounts visibility to different types of users.</w:t>
      </w:r>
    </w:p>
    <w:p>
      <w:pPr>
        <w:pStyle w:val="Heading3"/>
      </w:pPr>
      <w:r>
        <w:rPr>
          <w:sz w:val="24"/>
        </w:rPr>
        <w:t>Slide 5/23: (Untitled)</w:t>
      </w:r>
    </w:p>
    <w:p>
      <w:r>
        <w:rPr>
          <w:i/>
          <w:color w:val="888888"/>
        </w:rPr>
        <w:t>[Image placeholder]</w:t>
      </w:r>
    </w:p>
    <w:p>
      <w:pPr>
        <w:spacing w:before="80" w:after="80"/>
        <w:shd w:fill="E8E8E8" w:val="clear"/>
      </w:pPr>
      <w:r>
        <w:rPr>
          <w:i/>
          <w:color w:val="444444"/>
          <w:sz w:val="18"/>
        </w:rPr>
        <w:t>Speaker Notes: A person or a company may be an account holder.</w:t>
      </w:r>
    </w:p>
    <w:p>
      <w:pPr>
        <w:pStyle w:val="Heading3"/>
      </w:pPr>
      <w:r>
        <w:rPr>
          <w:sz w:val="24"/>
        </w:rPr>
        <w:t>Slide 6/23: (Untitled)</w:t>
      </w:r>
    </w:p>
    <w:p>
      <w:r>
        <w:rPr>
          <w:i/>
          <w:color w:val="888888"/>
        </w:rPr>
        <w:t>[Image placeholder]</w:t>
      </w:r>
    </w:p>
    <w:p>
      <w:pPr>
        <w:spacing w:before="80" w:after="80"/>
        <w:shd w:fill="E8E8E8" w:val="clear"/>
      </w:pPr>
      <w:r>
        <w:rPr>
          <w:i/>
          <w:color w:val="444444"/>
          <w:sz w:val="18"/>
        </w:rPr>
        <w:t>Speaker Notes: Different accounts have different purposes. A single contact may hold multiple accounts.</w:t>
      </w:r>
    </w:p>
    <w:p>
      <w:pPr>
        <w:pStyle w:val="Heading3"/>
      </w:pPr>
      <w:r>
        <w:rPr>
          <w:sz w:val="24"/>
        </w:rPr>
        <w:t>Slide 7/23: (Untitled)</w:t>
      </w:r>
    </w:p>
    <w:p>
      <w:r>
        <w:rPr>
          <w:i/>
          <w:color w:val="888888"/>
        </w:rPr>
        <w:t>[Image placeholder]</w:t>
      </w:r>
    </w:p>
    <w:p>
      <w:pPr>
        <w:spacing w:before="80" w:after="80"/>
        <w:shd w:fill="E8E8E8" w:val="clear"/>
      </w:pPr>
      <w:r>
        <w:rPr>
          <w:i/>
          <w:color w:val="444444"/>
          <w:sz w:val="18"/>
        </w:rPr>
        <w:t>Speaker Notes: An account can have zero, one or many associated policies. An account with at least one policy is referred to as •the insured". An account may have many separate, distinct "insureds“ aggregated within it as a related account. For example, General Motors could be an account with separate insureds (Chevy, Buick, GMC, and Pontiac) and separate policies for each insured. However, a policy can belong to only one account.</w:t>
      </w:r>
    </w:p>
    <w:p>
      <w:pPr>
        <w:pStyle w:val="Heading3"/>
      </w:pPr>
      <w:r>
        <w:rPr>
          <w:sz w:val="24"/>
        </w:rPr>
        <w:t>Slide 8/23: (Untitled)</w:t>
      </w:r>
    </w:p>
    <w:p>
      <w:r>
        <w:rPr>
          <w:i/>
          <w:color w:val="888888"/>
        </w:rPr>
        <w:t>[Image placeholder]</w:t>
      </w:r>
    </w:p>
    <w:p>
      <w:pPr>
        <w:spacing w:before="80" w:after="80"/>
        <w:shd w:fill="E8E8E8" w:val="clear"/>
      </w:pPr>
      <w:r>
        <w:rPr>
          <w:i/>
          <w:color w:val="444444"/>
          <w:sz w:val="18"/>
        </w:rPr>
        <w:t>Speaker Notes: When you try to create a new account in PolicyCenter, the application will search for a pre- existing account first by checking the name against one or more producer or account databases. PolicyCenter goes through name clearance to ensure that a person or company is not already an existing account, and that another producer does not represent them for the given policy type.</w:t>
        <w:br/>
        <w:br/>
        <w:t>Name clearance is a relevant issue when the same account requests quotes or policies at different times while providing slightly different names(such as a company known as "Demo Deliveries", "Demo Deliveries Inc.", and "Demo Delivers"). PolicyCenter executes name clearance to determine if the named account exists. Based on the customer's business need, the end user can choose an existing account (if found) or create a new account.</w:t>
      </w:r>
    </w:p>
    <w:p>
      <w:pPr>
        <w:pStyle w:val="Heading3"/>
      </w:pPr>
      <w:r>
        <w:rPr>
          <w:sz w:val="24"/>
        </w:rPr>
        <w:t>Slide 9/23: (Untitled)</w:t>
      </w:r>
    </w:p>
    <w:p>
      <w:r>
        <w:rPr>
          <w:i/>
          <w:color w:val="888888"/>
        </w:rPr>
        <w:t>[Image placeholder]</w:t>
      </w:r>
    </w:p>
    <w:p>
      <w:pPr>
        <w:spacing w:before="80" w:after="80"/>
        <w:shd w:fill="E8E8E8" w:val="clear"/>
      </w:pPr>
      <w:r>
        <w:rPr>
          <w:i/>
          <w:color w:val="444444"/>
          <w:sz w:val="18"/>
        </w:rPr>
        <w:t>Speaker Notes: When creating an account in PolicyCenter, you will need to provide an organization and a producer code. A producer is a generic term for a third party bringing business to the insurer. An organization is the group that a producer belongs to, and a producer code is a unique identifier assigned to the producer responsible for a policy or account. By including this information during account creation, the insurer can track the agent and agency that originally opened the account.</w:t>
        <w:br/>
        <w:br/>
        <w:t>Sometimes, producers can pre- qualify an applicant. In PolicyCenter, producers are specified in the account information using a producer code, which is entered when creating the account. You can learn more about organizations and producers in the PolicyCenter Community Model Refer to the lesson, "Users, Groups, and Organizations".</w:t>
      </w:r>
    </w:p>
    <w:p>
      <w:pPr>
        <w:pStyle w:val="Heading3"/>
      </w:pPr>
      <w:r>
        <w:rPr>
          <w:sz w:val="24"/>
        </w:rPr>
        <w:t>Slide 10/23: (Untitled)</w:t>
      </w:r>
    </w:p>
    <w:p>
      <w:r>
        <w:rPr>
          <w:i/>
          <w:color w:val="888888"/>
        </w:rPr>
        <w:t>[Image placeholder]</w:t>
      </w:r>
    </w:p>
    <w:p>
      <w:pPr>
        <w:spacing w:before="80" w:after="80"/>
        <w:shd w:fill="E8E8E8" w:val="clear"/>
      </w:pPr>
      <w:r>
        <w:rPr>
          <w:i/>
          <w:color w:val="444444"/>
          <w:sz w:val="18"/>
        </w:rPr>
        <w:t>Speaker Notes: PolicyCenter provides a wide range of supporting information about the Account. This slide shows several, but not all, of the types of supporting Account</w:t>
        <w:br/>
        <w:t>information.</w:t>
      </w:r>
    </w:p>
    <w:p>
      <w:pPr>
        <w:pStyle w:val="Heading3"/>
      </w:pPr>
      <w:r>
        <w:rPr>
          <w:sz w:val="24"/>
        </w:rPr>
        <w:t>Slide 11/23: (Untitled)</w:t>
      </w:r>
    </w:p>
    <w:p>
      <w:r>
        <w:rPr>
          <w:i/>
          <w:color w:val="888888"/>
        </w:rPr>
        <w:t>[Image placeholder]</w:t>
      </w:r>
    </w:p>
    <w:p>
      <w:pPr>
        <w:spacing w:before="80" w:after="80"/>
        <w:shd w:fill="E8E8E8" w:val="clear"/>
      </w:pPr>
      <w:r>
        <w:rPr>
          <w:i/>
          <w:color w:val="444444"/>
          <w:sz w:val="18"/>
        </w:rPr>
        <w:t>Speaker Notes: The Account Summary Dashboard provides several information panels that are important to customer service representatives, agents, and underwriters in addition to other insurance personnel. The Account Summary provides details about the account holder, a general overview of the account, billing details, current activities, and a list of all policies for the account Policy transactions, claims, related accounts, producers and locations are also on the Account Summary page.</w:t>
        <w:br/>
        <w:t>.</w:t>
        <w:br/>
        <w:t>The Billing section graphic shows aggregated information for accounts that are stored in the billing system. Information related to the next invoice and the last payment is also displayed per account.</w:t>
      </w:r>
    </w:p>
    <w:p>
      <w:pPr>
        <w:pStyle w:val="Heading3"/>
      </w:pPr>
      <w:r>
        <w:rPr>
          <w:sz w:val="24"/>
        </w:rPr>
        <w:t>Slide 12/23: (Untitled)</w:t>
      </w:r>
    </w:p>
    <w:p>
      <w:r>
        <w:rPr>
          <w:i/>
          <w:color w:val="888888"/>
        </w:rPr>
        <w:t>[Image placeholder]</w:t>
      </w:r>
    </w:p>
    <w:p>
      <w:pPr>
        <w:spacing w:before="80" w:after="80"/>
        <w:shd w:fill="E8E8E8" w:val="clear"/>
      </w:pPr>
      <w:r>
        <w:rPr>
          <w:i/>
          <w:color w:val="444444"/>
          <w:sz w:val="18"/>
        </w:rPr>
        <w:t>Speaker Notes: Show learners how to create an account, begin at the Desktop, and select Actions -&gt; New Account and continue down the path of creating an account for a new person with a Billing Address.</w:t>
      </w:r>
    </w:p>
    <w:p>
      <w:pPr>
        <w:pStyle w:val="Heading3"/>
      </w:pPr>
      <w:r>
        <w:rPr>
          <w:sz w:val="24"/>
        </w:rPr>
        <w:t>Slide 13/23: (Untitled)</w:t>
      </w:r>
    </w:p>
    <w:p>
      <w:pPr>
        <w:spacing w:before="80" w:after="80"/>
        <w:shd w:fill="E8E8E8" w:val="clear"/>
      </w:pPr>
      <w:r>
        <w:rPr>
          <w:i/>
          <w:color w:val="444444"/>
          <w:sz w:val="18"/>
        </w:rPr>
        <w:t>Speaker Notes: Show learners how to create an account, begin at the Desktop, and select Actions -&gt; New Account and continue down the path of creating an account for a new person with a Billing Address.</w:t>
      </w:r>
    </w:p>
    <w:p>
      <w:pPr>
        <w:pStyle w:val="Heading3"/>
      </w:pPr>
      <w:r>
        <w:rPr>
          <w:sz w:val="24"/>
        </w:rPr>
        <w:t>Slide 14/23: (Untitled)</w:t>
      </w:r>
    </w:p>
    <w:p>
      <w:pPr>
        <w:spacing w:before="80" w:after="80"/>
        <w:shd w:fill="E8E8E8" w:val="clear"/>
      </w:pPr>
      <w:r>
        <w:rPr>
          <w:i/>
          <w:color w:val="444444"/>
          <w:sz w:val="18"/>
        </w:rPr>
        <w:t>Speaker Notes: Show learners how to create an account, begin at the Desktop, and select Actions -&gt; New Account and continue down the path of creating an account for a new person with a Billing Address.</w:t>
      </w:r>
    </w:p>
    <w:p>
      <w:pPr>
        <w:pStyle w:val="Heading3"/>
      </w:pPr>
      <w:r>
        <w:rPr>
          <w:sz w:val="24"/>
        </w:rPr>
        <w:t>Slide 15/23: (Untitled)</w:t>
      </w:r>
    </w:p>
    <w:p>
      <w:r>
        <w:rPr>
          <w:i/>
          <w:color w:val="888888"/>
        </w:rPr>
        <w:t>[Image placeholder]</w:t>
      </w:r>
    </w:p>
    <w:p>
      <w:pPr>
        <w:spacing w:before="80" w:after="80"/>
        <w:shd w:fill="E8E8E8" w:val="clear"/>
      </w:pPr>
      <w:r>
        <w:rPr>
          <w:i/>
          <w:color w:val="444444"/>
          <w:sz w:val="18"/>
        </w:rPr>
        <w:t>Speaker Notes: Search for the Wright Construction account and show students the supporting account information, including the sample data's information about Billing. Claims does not have sample data, so you will need to describe how that screen gets populated when PolicyCenter is integrated with ClaimsCenter.</w:t>
      </w:r>
    </w:p>
    <w:p>
      <w:pPr>
        <w:pStyle w:val="Heading3"/>
      </w:pPr>
      <w:r>
        <w:rPr>
          <w:sz w:val="24"/>
        </w:rPr>
        <w:t>Slide 16/23: (Untitled)</w:t>
      </w:r>
    </w:p>
    <w:p>
      <w:pPr>
        <w:spacing w:before="80" w:after="80"/>
        <w:shd w:fill="E8E8E8" w:val="clear"/>
      </w:pPr>
      <w:r>
        <w:rPr>
          <w:i/>
          <w:color w:val="444444"/>
          <w:sz w:val="18"/>
        </w:rPr>
        <w:t>Speaker Notes: Search for the Wright Construction account and show students the supporting account information, including the sample data's information about Billing. Claims does not have sample data, so you will need to describe how that screen gets populated when PolicyCenter is integrated with ClaimsCenter.</w:t>
      </w:r>
    </w:p>
    <w:p>
      <w:pPr>
        <w:pStyle w:val="Heading3"/>
      </w:pPr>
      <w:r>
        <w:rPr>
          <w:sz w:val="24"/>
        </w:rPr>
        <w:t>Slide 17/23: (Untitled)</w:t>
      </w:r>
    </w:p>
    <w:p>
      <w:r>
        <w:rPr>
          <w:i/>
          <w:color w:val="888888"/>
        </w:rPr>
        <w:t>[Image placeholder]</w:t>
      </w:r>
    </w:p>
    <w:p>
      <w:pPr>
        <w:pStyle w:val="Heading3"/>
      </w:pPr>
      <w:r>
        <w:rPr>
          <w:sz w:val="24"/>
        </w:rPr>
        <w:t>Slide 18/23: (Untitled)</w:t>
      </w:r>
    </w:p>
    <w:p>
      <w:r>
        <w:rPr>
          <w:i/>
          <w:color w:val="888888"/>
        </w:rPr>
        <w:t>[Image placeholder]</w:t>
      </w:r>
    </w:p>
    <w:p>
      <w:r>
        <w:rPr>
          <w:i/>
          <w:color w:val="888888"/>
        </w:rPr>
        <w:t>[Image placeholder]</w:t>
      </w:r>
    </w:p>
    <w:p>
      <w:r>
        <w:rPr>
          <w:i/>
          <w:color w:val="888888"/>
        </w:rPr>
        <w:t>[Image placeholder]</w:t>
      </w:r>
    </w:p>
    <w:p>
      <w:pPr>
        <w:pStyle w:val="Heading3"/>
      </w:pPr>
      <w:r>
        <w:rPr>
          <w:sz w:val="24"/>
        </w:rPr>
        <w:t>Slide 19/23: (Untitled)</w:t>
      </w:r>
    </w:p>
    <w:p>
      <w:r>
        <w:rPr>
          <w:i/>
          <w:color w:val="888888"/>
        </w:rPr>
        <w:t>[Image placeholder]</w:t>
      </w:r>
    </w:p>
    <w:p>
      <w:pPr>
        <w:pStyle w:val="Heading3"/>
      </w:pPr>
      <w:r>
        <w:rPr>
          <w:sz w:val="24"/>
        </w:rPr>
        <w:t>Slide 20/23: (Untitled)</w:t>
      </w:r>
    </w:p>
    <w:p>
      <w:r>
        <w:rPr>
          <w:i/>
          <w:color w:val="888888"/>
        </w:rPr>
        <w:t>[Image placeholder]</w:t>
      </w:r>
    </w:p>
    <w:p>
      <w:pPr>
        <w:pStyle w:val="Heading3"/>
      </w:pPr>
      <w:r>
        <w:rPr>
          <w:sz w:val="24"/>
        </w:rPr>
        <w:t>Slide 21/23: (Untitled)</w:t>
      </w:r>
    </w:p>
    <w:p>
      <w:r>
        <w:rPr>
          <w:i/>
          <w:color w:val="888888"/>
        </w:rPr>
        <w:t>[Image placeholder]</w:t>
      </w:r>
    </w:p>
    <w:p>
      <w:pPr>
        <w:pStyle w:val="Heading3"/>
      </w:pPr>
      <w:r>
        <w:rPr>
          <w:sz w:val="24"/>
        </w:rPr>
        <w:t>Slide 22/23: (Untitled)</w:t>
      </w:r>
    </w:p>
    <w:p>
      <w:r>
        <w:rPr>
          <w:i/>
          <w:color w:val="888888"/>
        </w:rPr>
        <w:t>[Image placeholder]</w:t>
      </w:r>
    </w:p>
    <w:p>
      <w:pPr>
        <w:spacing w:before="80" w:after="80"/>
        <w:shd w:fill="E8E8E8" w:val="clear"/>
      </w:pPr>
      <w:r>
        <w:rPr>
          <w:i/>
          <w:color w:val="444444"/>
          <w:sz w:val="18"/>
        </w:rPr>
        <w:t>Speaker Notes: Virtual Machine Instructions</w:t>
        <w:br/>
        <w:t>contains a link and instructions to start your VM- Start the VM now  Once the VM has started, follow these steps to start the PolicyCenter application:</w:t>
        <w:br/>
        <w:br/>
        <w:t>1. Locate the PolicyCenter Shortcuts folder on the Desktop</w:t>
        <w:br/>
        <w:t>2. Open the PolicyCenter Shortcuts folder</w:t>
        <w:br/>
        <w:t>3. From the file list double- click on Start PolicyCenter This will open a command prompt window. Several messages related to PolicyCenter's startup appear in the window. When the steps are finished, you will see the following message in the command prompt window.</w:t>
        <w:br/>
        <w:t>******PolicyCenter</w:t>
        <w:br/>
        <w:t>ready*</w:t>
        <w:br/>
        <w:t>Leave the command window open (minimize if needed)- It is easy to miss the "ready“ message since PolicyCenter continues to process activities after displaying the notice. If you have waited three minutes or more without seeing the message, go to step 4 and open Chrome. The percentage will remain at 0%, it may be disregarded.</w:t>
        <w:br/>
        <w:t>4. Open Chrome from the bottom bar of the VM</w:t>
        <w:br/>
        <w:t>5. In the browser, connect to the following URL: http://localhost:8180/pc/PolicyCenter.do</w:t>
        <w:br/>
        <w:t>6. When you are finished working on training for the day, you must manually  top the application server.</w:t>
      </w:r>
    </w:p>
    <w:p>
      <w:pPr>
        <w:pStyle w:val="Heading3"/>
      </w:pPr>
      <w:r>
        <w:rPr>
          <w:sz w:val="24"/>
        </w:rPr>
        <w:t>Slide 23/23: (Untitled)</w:t>
      </w:r>
    </w:p>
    <w:p>
      <w:r>
        <w:rPr>
          <w:i/>
          <w:color w:val="888888"/>
        </w:rPr>
        <w:t>[Image placeholder]</w:t>
      </w:r>
    </w:p>
    <w:p>
      <w:pPr>
        <w:pStyle w:val="Heading2"/>
      </w:pPr>
      <w:r>
        <w:t>Assignment</w:t>
      </w:r>
    </w:p>
    <w:p>
      <w:r>
        <w:rPr>
          <w:b/>
          <w:color w:val="008800"/>
        </w:rPr>
        <w:t>[Assignment 01]: 01_Accounts</w:t>
      </w:r>
    </w:p>
    <w:p>
      <w:r>
        <w:rPr>
          <w:i/>
          <w:sz w:val="18"/>
        </w:rPr>
        <w:t>File: 01_Accounts.pdf</w:t>
      </w:r>
    </w:p>
    <w:p/>
    <w:p>
      <w:pPr>
        <w:spacing w:before="240"/>
        <w:jc w:val="center"/>
      </w:pPr>
      <w:r>
        <w:rPr>
          <w:i/>
          <w:color w:val="999999"/>
          <w:sz w:val="16"/>
        </w:rPr>
        <w:t>--- End of Lesson 1: Accounts | 23 slides | 47 videos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