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1A1A"/>
          <w:sz w:val="36"/>
        </w:rPr>
        <w:t>Chapter 04: PolicyCenter Introduction</w:t>
      </w:r>
    </w:p>
    <w:p>
      <w:pPr>
        <w:pStyle w:val="Heading2"/>
      </w:pPr>
      <w:r>
        <w:rPr>
          <w:color w:val="333333"/>
          <w:sz w:val="28"/>
        </w:rPr>
        <w:t>Lesson 4: Product Model Introduction</w:t>
      </w:r>
    </w:p>
    <w:p>
      <w:pPr>
        <w:spacing w:after="40"/>
      </w:pPr>
      <w:r>
        <w:rPr>
          <w:i/>
          <w:color w:val="999999"/>
          <w:sz w:val="16"/>
        </w:rPr>
        <w:t>Source: In_policy_04_Product Model Introduction.pptx</w:t>
      </w:r>
    </w:p>
    <w:p>
      <w:pPr>
        <w:pStyle w:val="Heading3"/>
      </w:pPr>
      <w:r>
        <w:t>Video References</w:t>
      </w:r>
    </w:p>
    <w:p>
      <w:pPr>
        <w:pStyle w:val="ListNumber"/>
      </w:pPr>
      <w:r>
        <w:rPr>
          <w:color w:val="0066CC"/>
          <w:sz w:val="20"/>
        </w:rPr>
        <w:t>[Video 1: In_Policy_07_01.mp4]</w:t>
      </w:r>
    </w:p>
    <w:p>
      <w:pPr>
        <w:pStyle w:val="ListNumber"/>
      </w:pPr>
      <w:r>
        <w:rPr>
          <w:color w:val="0066CC"/>
          <w:sz w:val="20"/>
        </w:rPr>
        <w:t>[Video 2: In_Policy_08_01.mp4]</w:t>
      </w:r>
    </w:p>
    <w:p>
      <w:pPr>
        <w:pStyle w:val="ListNumber"/>
      </w:pPr>
      <w:r>
        <w:rPr>
          <w:color w:val="0066CC"/>
          <w:sz w:val="20"/>
        </w:rPr>
        <w:t>[Video 3: In_Policy_08_02.mp4]</w:t>
      </w:r>
    </w:p>
    <w:p>
      <w:pPr>
        <w:pStyle w:val="ListNumber"/>
      </w:pPr>
      <w:r>
        <w:rPr>
          <w:color w:val="0066CC"/>
          <w:sz w:val="20"/>
        </w:rPr>
        <w:t>[Video 4: In_Policy_09_01.mp4]</w:t>
      </w:r>
    </w:p>
    <w:p>
      <w:pPr>
        <w:pStyle w:val="ListNumber"/>
      </w:pPr>
      <w:r>
        <w:rPr>
          <w:color w:val="0066CC"/>
          <w:sz w:val="20"/>
        </w:rPr>
        <w:t>[Video 5: In_Policy_09_02.mp4]</w:t>
      </w:r>
    </w:p>
    <w:p>
      <w:pPr>
        <w:pStyle w:val="ListNumber"/>
      </w:pPr>
      <w:r>
        <w:rPr>
          <w:color w:val="0066CC"/>
          <w:sz w:val="20"/>
        </w:rPr>
        <w:t>[Video 6: In_Policy_09_03.mp4]</w:t>
      </w:r>
    </w:p>
    <w:p>
      <w:pPr>
        <w:pStyle w:val="ListNumber"/>
      </w:pPr>
      <w:r>
        <w:rPr>
          <w:color w:val="0066CC"/>
          <w:sz w:val="20"/>
        </w:rPr>
        <w:t>[Video 7: In_Policy_10_01.mp4]</w:t>
      </w:r>
    </w:p>
    <w:p>
      <w:pPr>
        <w:pStyle w:val="ListNumber"/>
      </w:pPr>
      <w:r>
        <w:rPr>
          <w:color w:val="0066CC"/>
          <w:sz w:val="20"/>
        </w:rPr>
        <w:t>[Video 8: In_Policy_10_02.mp4]</w:t>
      </w:r>
    </w:p>
    <w:p>
      <w:pPr>
        <w:pStyle w:val="ListNumber"/>
      </w:pPr>
      <w:r>
        <w:rPr>
          <w:color w:val="0066CC"/>
          <w:sz w:val="20"/>
        </w:rPr>
        <w:t>[Video 9: In_Policy_11_01.mp4]</w:t>
      </w:r>
    </w:p>
    <w:p>
      <w:pPr>
        <w:pStyle w:val="ListNumber"/>
      </w:pPr>
      <w:r>
        <w:rPr>
          <w:color w:val="0066CC"/>
          <w:sz w:val="20"/>
        </w:rPr>
        <w:t>[Video 10: In_Policy_12_01.mp4]</w:t>
      </w:r>
    </w:p>
    <w:p>
      <w:pPr>
        <w:pStyle w:val="ListNumber"/>
      </w:pPr>
      <w:r>
        <w:rPr>
          <w:color w:val="0066CC"/>
          <w:sz w:val="20"/>
        </w:rPr>
        <w:t>[Video 11: In_Policy_13_01.mp4]</w:t>
      </w:r>
    </w:p>
    <w:p>
      <w:pPr>
        <w:pStyle w:val="ListNumber"/>
      </w:pPr>
      <w:r>
        <w:rPr>
          <w:color w:val="0066CC"/>
          <w:sz w:val="20"/>
        </w:rPr>
        <w:t>[Video 12: In_Policy_13_02.mp4]</w:t>
      </w:r>
    </w:p>
    <w:p>
      <w:pPr>
        <w:pStyle w:val="ListNumber"/>
      </w:pPr>
      <w:r>
        <w:rPr>
          <w:color w:val="0066CC"/>
          <w:sz w:val="20"/>
        </w:rPr>
        <w:t>[Video 13: In_Policy_13_03.mp4]</w:t>
      </w:r>
    </w:p>
    <w:p>
      <w:pPr>
        <w:pStyle w:val="ListNumber"/>
      </w:pPr>
      <w:r>
        <w:rPr>
          <w:color w:val="0066CC"/>
          <w:sz w:val="20"/>
        </w:rPr>
        <w:t>[Video 14: In_Policy_14_01.mp4]</w:t>
      </w:r>
    </w:p>
    <w:p>
      <w:pPr>
        <w:pStyle w:val="ListNumber"/>
      </w:pPr>
      <w:r>
        <w:rPr>
          <w:color w:val="0066CC"/>
          <w:sz w:val="20"/>
        </w:rPr>
        <w:t>[Video 15: In_Policy_15_01.mp4]</w:t>
      </w:r>
    </w:p>
    <w:p>
      <w:pPr>
        <w:pStyle w:val="ListNumber"/>
      </w:pPr>
      <w:r>
        <w:rPr>
          <w:color w:val="0066CC"/>
          <w:sz w:val="20"/>
        </w:rPr>
        <w:t>[Video 16: In_Policy_16_01.mp4]</w:t>
      </w:r>
    </w:p>
    <w:p>
      <w:pPr>
        <w:pStyle w:val="ListNumber"/>
      </w:pPr>
      <w:r>
        <w:rPr>
          <w:color w:val="0066CC"/>
          <w:sz w:val="20"/>
        </w:rPr>
        <w:t>[Video 17: In_Policy_16_02.mp4]</w:t>
      </w:r>
    </w:p>
    <w:p>
      <w:pPr>
        <w:pStyle w:val="ListNumber"/>
      </w:pPr>
      <w:r>
        <w:rPr>
          <w:color w:val="0066CC"/>
          <w:sz w:val="20"/>
        </w:rPr>
        <w:t>[Video 18: In_Policy_16_03.mp4]</w:t>
      </w:r>
    </w:p>
    <w:p>
      <w:pPr>
        <w:pStyle w:val="ListNumber"/>
      </w:pPr>
      <w:r>
        <w:rPr>
          <w:color w:val="0066CC"/>
          <w:sz w:val="20"/>
        </w:rPr>
        <w:t>[Video 19: In_Policy_17_01.mp4]</w:t>
      </w:r>
    </w:p>
    <w:p>
      <w:pPr>
        <w:pStyle w:val="ListNumber"/>
      </w:pPr>
      <w:r>
        <w:rPr>
          <w:color w:val="0066CC"/>
          <w:sz w:val="20"/>
        </w:rPr>
        <w:t>[Video 20: In_Policy_17_02.mp4]</w:t>
      </w:r>
    </w:p>
    <w:p>
      <w:pPr>
        <w:pStyle w:val="ListNumber"/>
      </w:pPr>
      <w:r>
        <w:rPr>
          <w:color w:val="0066CC"/>
          <w:sz w:val="20"/>
        </w:rPr>
        <w:t>[Video 21: In_Policy_18_01.mp4]</w:t>
      </w:r>
    </w:p>
    <w:p>
      <w:pPr>
        <w:pStyle w:val="ListNumber"/>
      </w:pPr>
      <w:r>
        <w:rPr>
          <w:color w:val="0066CC"/>
          <w:sz w:val="20"/>
        </w:rPr>
        <w:t>[Video 22: In_Policy_19_01.mp4]</w:t>
      </w:r>
    </w:p>
    <w:p>
      <w:pPr>
        <w:pStyle w:val="ListNumber"/>
      </w:pPr>
      <w:r>
        <w:rPr>
          <w:color w:val="0066CC"/>
          <w:sz w:val="20"/>
        </w:rPr>
        <w:t>[Video 23: In_Policy_19_02 .mp4]</w:t>
      </w:r>
    </w:p>
    <w:p>
      <w:pPr>
        <w:pStyle w:val="ListNumber"/>
      </w:pPr>
      <w:r>
        <w:rPr>
          <w:color w:val="0066CC"/>
          <w:sz w:val="20"/>
        </w:rPr>
        <w:t>[Video 24: In_Policy_20_01.mp4]</w:t>
      </w:r>
    </w:p>
    <w:p>
      <w:pPr>
        <w:pStyle w:val="ListNumber"/>
      </w:pPr>
      <w:r>
        <w:rPr>
          <w:color w:val="0066CC"/>
          <w:sz w:val="20"/>
        </w:rPr>
        <w:t>[Video 25: In_Policy_21_01.mp4]</w:t>
      </w:r>
    </w:p>
    <w:p>
      <w:pPr>
        <w:pStyle w:val="ListNumber"/>
      </w:pPr>
      <w:r>
        <w:rPr>
          <w:color w:val="0066CC"/>
          <w:sz w:val="20"/>
        </w:rPr>
        <w:t>[Video 26: In_Policy_21_02.mp4]</w:t>
      </w:r>
    </w:p>
    <w:p>
      <w:pPr>
        <w:pStyle w:val="ListNumber"/>
      </w:pPr>
      <w:r>
        <w:rPr>
          <w:color w:val="0066CC"/>
          <w:sz w:val="20"/>
        </w:rPr>
        <w:t>[Video 27: In_Policy_21_03.mp4]</w:t>
      </w:r>
    </w:p>
    <w:p>
      <w:pPr>
        <w:pStyle w:val="ListNumber"/>
      </w:pPr>
      <w:r>
        <w:rPr>
          <w:color w:val="0066CC"/>
          <w:sz w:val="20"/>
        </w:rPr>
        <w:t>[Video 28: In_Policy_22_01.mp4]</w:t>
      </w:r>
    </w:p>
    <w:p>
      <w:pPr>
        <w:pStyle w:val="ListNumber"/>
      </w:pPr>
      <w:r>
        <w:rPr>
          <w:color w:val="0066CC"/>
          <w:sz w:val="20"/>
        </w:rPr>
        <w:t>[Video 29: In_Policy_23_01.mp4]</w:t>
      </w:r>
    </w:p>
    <w:p>
      <w:pPr>
        <w:pStyle w:val="ListNumber"/>
      </w:pPr>
      <w:r>
        <w:rPr>
          <w:color w:val="0066CC"/>
          <w:sz w:val="20"/>
        </w:rPr>
        <w:t>[Video 30: In_Policy_24_01.mp4]</w:t>
      </w:r>
    </w:p>
    <w:p>
      <w:pPr>
        <w:pStyle w:val="ListNumber"/>
      </w:pPr>
      <w:r>
        <w:rPr>
          <w:color w:val="0066CC"/>
          <w:sz w:val="20"/>
        </w:rPr>
        <w:t>[Video 31: In_Policy_24_02.mp4]</w:t>
      </w:r>
    </w:p>
    <w:p>
      <w:pPr>
        <w:pStyle w:val="ListNumber"/>
      </w:pPr>
      <w:r>
        <w:rPr>
          <w:color w:val="0066CC"/>
          <w:sz w:val="20"/>
        </w:rPr>
        <w:t>[Video 32: In_Policy_25_01.mp4]</w:t>
      </w:r>
    </w:p>
    <w:p>
      <w:pPr>
        <w:pStyle w:val="ListNumber"/>
      </w:pPr>
      <w:r>
        <w:rPr>
          <w:color w:val="0066CC"/>
          <w:sz w:val="20"/>
        </w:rPr>
        <w:t>[Video 33: In_Policy_26_01.mp4]</w:t>
      </w:r>
    </w:p>
    <w:p>
      <w:pPr>
        <w:pStyle w:val="ListNumber"/>
      </w:pPr>
      <w:r>
        <w:rPr>
          <w:color w:val="0066CC"/>
          <w:sz w:val="20"/>
        </w:rPr>
        <w:t>[Video 34: In_Policy_27_01.mp4]</w:t>
      </w:r>
    </w:p>
    <w:p>
      <w:pPr>
        <w:pStyle w:val="ListNumber"/>
      </w:pPr>
      <w:r>
        <w:rPr>
          <w:color w:val="0066CC"/>
          <w:sz w:val="20"/>
        </w:rPr>
        <w:t>[Video 35: In_Policy_28_01.mp4]</w:t>
      </w:r>
    </w:p>
    <w:p>
      <w:pPr>
        <w:pStyle w:val="ListNumber"/>
      </w:pPr>
      <w:r>
        <w:rPr>
          <w:color w:val="0066CC"/>
          <w:sz w:val="20"/>
        </w:rPr>
        <w:t>[Video 36: In_Policy_28_02.mp4]</w:t>
      </w:r>
    </w:p>
    <w:p>
      <w:pPr>
        <w:pStyle w:val="ListNumber"/>
      </w:pPr>
      <w:r>
        <w:rPr>
          <w:color w:val="0066CC"/>
          <w:sz w:val="20"/>
        </w:rPr>
        <w:t>[Video 37: In_Policy_29_01.mp4]</w:t>
      </w:r>
    </w:p>
    <w:p>
      <w:pPr>
        <w:pStyle w:val="ListNumber"/>
      </w:pPr>
      <w:r>
        <w:rPr>
          <w:color w:val="0066CC"/>
          <w:sz w:val="20"/>
        </w:rPr>
        <w:t>[Video 38: In_Policy_30_01.mp4]</w:t>
      </w:r>
    </w:p>
    <w:p>
      <w:pPr>
        <w:pStyle w:val="ListNumber"/>
      </w:pPr>
      <w:r>
        <w:rPr>
          <w:color w:val="0066CC"/>
          <w:sz w:val="20"/>
        </w:rPr>
        <w:t>[Video 39: In_policy_01_01.mp4]</w:t>
      </w:r>
    </w:p>
    <w:p>
      <w:pPr>
        <w:pStyle w:val="ListNumber"/>
      </w:pPr>
      <w:r>
        <w:rPr>
          <w:color w:val="0066CC"/>
          <w:sz w:val="20"/>
        </w:rPr>
        <w:t>[Video 40: In_policy_01_02.mp4]</w:t>
      </w:r>
    </w:p>
    <w:p>
      <w:pPr>
        <w:pStyle w:val="ListNumber"/>
      </w:pPr>
      <w:r>
        <w:rPr>
          <w:color w:val="0066CC"/>
          <w:sz w:val="20"/>
        </w:rPr>
        <w:t>[Video 41: In_policy_03_01.mp4]</w:t>
      </w:r>
    </w:p>
    <w:p>
      <w:pPr>
        <w:pStyle w:val="ListNumber"/>
      </w:pPr>
      <w:r>
        <w:rPr>
          <w:color w:val="0066CC"/>
          <w:sz w:val="20"/>
        </w:rPr>
        <w:t>[Video 42: In_policy_03_02.mp4]</w:t>
      </w:r>
    </w:p>
    <w:p>
      <w:pPr>
        <w:pStyle w:val="ListNumber"/>
      </w:pPr>
      <w:r>
        <w:rPr>
          <w:color w:val="0066CC"/>
          <w:sz w:val="20"/>
        </w:rPr>
        <w:t>[Video 43: In_policy_06_01.mp4]</w:t>
      </w:r>
    </w:p>
    <w:p>
      <w:pPr>
        <w:pStyle w:val="ListNumber"/>
      </w:pPr>
      <w:r>
        <w:rPr>
          <w:color w:val="0066CC"/>
          <w:sz w:val="20"/>
        </w:rPr>
        <w:t>[Video 44: In_policy_06_02.mp4]</w:t>
      </w:r>
    </w:p>
    <w:p>
      <w:pPr>
        <w:pStyle w:val="ListNumber"/>
      </w:pPr>
      <w:r>
        <w:rPr>
          <w:color w:val="0066CC"/>
          <w:sz w:val="20"/>
        </w:rPr>
        <w:t>[Video 45: In_policy_06_03.mp4]</w:t>
      </w:r>
    </w:p>
    <w:p>
      <w:pPr>
        <w:pStyle w:val="ListNumber"/>
      </w:pPr>
      <w:r>
        <w:rPr>
          <w:color w:val="0066CC"/>
          <w:sz w:val="20"/>
        </w:rPr>
        <w:t>[Video 46: In_policy_06_04.mp4]</w:t>
      </w:r>
    </w:p>
    <w:p>
      <w:pPr>
        <w:pStyle w:val="ListNumber"/>
      </w:pPr>
      <w:r>
        <w:rPr>
          <w:color w:val="0066CC"/>
          <w:sz w:val="20"/>
        </w:rPr>
        <w:t>[Video 47: In_policy_06_05.mp4]</w:t>
      </w:r>
    </w:p>
    <w:p/>
    <w:p>
      <w:pPr>
        <w:pStyle w:val="Heading2"/>
      </w:pPr>
      <w:r>
        <w:t>Slide Content</w:t>
      </w:r>
    </w:p>
    <w:p>
      <w:pPr>
        <w:pStyle w:val="Heading3"/>
      </w:pPr>
      <w:r>
        <w:rPr>
          <w:sz w:val="24"/>
        </w:rPr>
        <w:t>Slide 1/27: (Untitled)</w:t>
      </w:r>
    </w:p>
    <w:p>
      <w:r>
        <w:rPr>
          <w:i/>
          <w:color w:val="888888"/>
        </w:rPr>
        <w:t>[Image placeholder]</w:t>
      </w:r>
    </w:p>
    <w:p>
      <w:pPr>
        <w:pStyle w:val="Heading3"/>
      </w:pPr>
      <w:r>
        <w:rPr>
          <w:sz w:val="24"/>
        </w:rPr>
        <w:t>Slide 2/27: (Untitled)</w:t>
      </w:r>
    </w:p>
    <w:p>
      <w:r>
        <w:rPr>
          <w:i/>
          <w:color w:val="888888"/>
        </w:rPr>
        <w:t>[Image placeholder]</w:t>
      </w:r>
    </w:p>
    <w:p>
      <w:pPr>
        <w:pStyle w:val="Heading3"/>
      </w:pPr>
      <w:r>
        <w:rPr>
          <w:sz w:val="24"/>
        </w:rPr>
        <w:t>Slide 3/27: (Untitled)</w:t>
      </w:r>
    </w:p>
    <w:p>
      <w:r>
        <w:rPr>
          <w:i/>
          <w:color w:val="888888"/>
        </w:rPr>
        <w:t>[Image placeholder]</w:t>
      </w:r>
    </w:p>
    <w:p>
      <w:pPr>
        <w:pStyle w:val="Heading3"/>
      </w:pPr>
      <w:r>
        <w:rPr>
          <w:sz w:val="24"/>
        </w:rPr>
        <w:t>Slide 4/27: (Untitled)</w:t>
      </w:r>
    </w:p>
    <w:p>
      <w:r>
        <w:rPr>
          <w:i/>
          <w:color w:val="888888"/>
        </w:rPr>
        <w:t>[Image placeholder]</w:t>
      </w:r>
    </w:p>
    <w:p>
      <w:pPr>
        <w:pStyle w:val="Heading3"/>
      </w:pPr>
      <w:r>
        <w:rPr>
          <w:sz w:val="24"/>
        </w:rPr>
        <w:t>Slide 5/27: (Untitled)</w:t>
      </w:r>
    </w:p>
    <w:p>
      <w:r>
        <w:rPr>
          <w:i/>
          <w:color w:val="888888"/>
        </w:rPr>
        <w:t>[Image placeholder]</w:t>
      </w:r>
    </w:p>
    <w:p>
      <w:pPr>
        <w:spacing w:before="80" w:after="80"/>
        <w:shd w:fill="E8E8E8" w:val="clear"/>
      </w:pPr>
      <w:r>
        <w:rPr>
          <w:i/>
          <w:color w:val="444444"/>
          <w:sz w:val="18"/>
        </w:rPr>
        <w:t>Speaker Notes: The product model</w:t>
        <w:br/>
        <w:t>PolicyCenter's base configuration has several lines of business (LOB) that can be used for reference or use and can be extended as necessary. If PolicyCenter's base configuration LOBs or templates do not meet your needs, you can add your own line of business, a process that is briefly outlined in the product documentation (Adding a New Line of Business). The product model describes how products and policies, including coverages and coverage terms,  are configured in your version of PolicyCenter. The business needs of your organization drivethe product model.</w:t>
      </w:r>
    </w:p>
    <w:p>
      <w:pPr>
        <w:pStyle w:val="Heading3"/>
      </w:pPr>
      <w:r>
        <w:rPr>
          <w:sz w:val="24"/>
        </w:rPr>
        <w:t>Slide 6/27: (Untitled)</w:t>
      </w:r>
    </w:p>
    <w:p>
      <w:r>
        <w:rPr>
          <w:i/>
          <w:color w:val="888888"/>
        </w:rPr>
        <w:t>[Image placeholder]</w:t>
      </w:r>
    </w:p>
    <w:p>
      <w:pPr>
        <w:spacing w:before="80" w:after="80"/>
        <w:shd w:fill="E8E8E8" w:val="clear"/>
      </w:pPr>
      <w:r>
        <w:rPr>
          <w:i/>
          <w:color w:val="444444"/>
          <w:sz w:val="18"/>
        </w:rPr>
        <w:t>Speaker Notes: Examples of policy file information</w:t>
        <w:br/>
        <w:t>Sample LOBs are available in the PolicyCenter base configuration.Examples of coverages and coverage terms can also be found in the base configuratiom</w:t>
      </w:r>
    </w:p>
    <w:p>
      <w:pPr>
        <w:pStyle w:val="Heading3"/>
      </w:pPr>
      <w:r>
        <w:rPr>
          <w:sz w:val="24"/>
        </w:rPr>
        <w:t>Slide 7/27: (Untitled)</w:t>
      </w:r>
    </w:p>
    <w:p>
      <w:r>
        <w:rPr>
          <w:i/>
          <w:color w:val="888888"/>
        </w:rPr>
        <w:t>[Image placeholder]</w:t>
      </w:r>
    </w:p>
    <w:p>
      <w:pPr>
        <w:spacing w:before="80" w:after="80"/>
        <w:shd w:fill="E8E8E8" w:val="clear"/>
      </w:pPr>
      <w:r>
        <w:rPr>
          <w:i/>
          <w:color w:val="444444"/>
          <w:sz w:val="18"/>
        </w:rPr>
        <w:t>Speaker Notes: Base configuration templates</w:t>
        <w:br/>
        <w:t>The base configuration has several LOBs available that an insurer can use to build a customized solution. The solutionconsists of building a productmodel that includes all the details of what the insurer wants to sell to their customers.</w:t>
        <w:br/>
        <w:br/>
        <w:t>An LOB is not the same as a product. A product is what appears when you are in the NewSubmissions screen inside the PolicyCenter application, which isset up in the product model. For example, you might set up a new policy line specific to Golf Carts, and that Golf Cart policy line can have an associated product (also called Golf Cart). A product mayhave multiple policy lines.  Perhaps your Golf Cart line is offered along with a Personal Auto line as a package (product package). You can configure this association in your product model, and give it an individual name, perhaps Personal Auto Plus.</w:t>
      </w:r>
    </w:p>
    <w:p>
      <w:pPr>
        <w:pStyle w:val="Heading3"/>
      </w:pPr>
      <w:r>
        <w:rPr>
          <w:sz w:val="24"/>
        </w:rPr>
        <w:t>Slide 8/27: (Untitled)</w:t>
      </w:r>
    </w:p>
    <w:p>
      <w:r>
        <w:rPr>
          <w:i/>
          <w:color w:val="888888"/>
        </w:rPr>
        <w:t>[Image placeholder]</w:t>
      </w:r>
    </w:p>
    <w:p>
      <w:pPr>
        <w:spacing w:before="80" w:after="80"/>
        <w:shd w:fill="E8E8E8" w:val="clear"/>
      </w:pPr>
      <w:r>
        <w:rPr>
          <w:i/>
          <w:color w:val="444444"/>
          <w:sz w:val="18"/>
        </w:rPr>
        <w:t>Speaker Notes: Product details</w:t>
        <w:br/>
        <w:t>If you select the Homeowners product, you have more options related to the policy. The product details are what you specify in the product model.</w:t>
      </w:r>
    </w:p>
    <w:p>
      <w:pPr>
        <w:pStyle w:val="Heading3"/>
      </w:pPr>
      <w:r>
        <w:rPr>
          <w:sz w:val="24"/>
        </w:rPr>
        <w:t>Slide 9/27: (Untitled)</w:t>
      </w:r>
    </w:p>
    <w:p>
      <w:r>
        <w:rPr>
          <w:i/>
          <w:color w:val="888888"/>
        </w:rPr>
        <w:t>[Image placeholder]</w:t>
      </w:r>
    </w:p>
    <w:p>
      <w:pPr>
        <w:spacing w:before="80" w:after="80"/>
        <w:shd w:fill="E8E8E8" w:val="clear"/>
      </w:pPr>
      <w:r>
        <w:rPr>
          <w:i/>
          <w:color w:val="444444"/>
          <w:sz w:val="18"/>
        </w:rPr>
        <w:t>Speaker Notes: Rating-relevant information in the product model</w:t>
        <w:br/>
        <w:t>The basic components of the product model are the product, the policy line and the coverages. However, other influencing factors such as modifiers and auditing timelines can be set up using the product model.</w:t>
      </w:r>
    </w:p>
    <w:p>
      <w:pPr>
        <w:pStyle w:val="Heading3"/>
      </w:pPr>
      <w:r>
        <w:rPr>
          <w:sz w:val="24"/>
        </w:rPr>
        <w:t>Slide 10/27: (Untitled)</w:t>
      </w:r>
    </w:p>
    <w:p>
      <w:r>
        <w:rPr>
          <w:i/>
          <w:color w:val="888888"/>
        </w:rPr>
        <w:t>[Image placeholder]</w:t>
      </w:r>
    </w:p>
    <w:p>
      <w:pPr>
        <w:pStyle w:val="Heading3"/>
      </w:pPr>
      <w:r>
        <w:rPr>
          <w:sz w:val="24"/>
        </w:rPr>
        <w:t>Slide 11/27: (Untitled)</w:t>
      </w:r>
    </w:p>
    <w:p>
      <w:r>
        <w:rPr>
          <w:i/>
          <w:color w:val="888888"/>
        </w:rPr>
        <w:t>[Image placeholder]</w:t>
      </w:r>
    </w:p>
    <w:p>
      <w:pPr>
        <w:pStyle w:val="Heading3"/>
      </w:pPr>
      <w:r>
        <w:rPr>
          <w:sz w:val="24"/>
        </w:rPr>
        <w:t>Slide 12/27: (Untitled)</w:t>
      </w:r>
    </w:p>
    <w:p>
      <w:r>
        <w:rPr>
          <w:i/>
          <w:color w:val="888888"/>
        </w:rPr>
        <w:t>[Image placeholder]</w:t>
      </w:r>
    </w:p>
    <w:p>
      <w:pPr>
        <w:spacing w:before="80" w:after="80"/>
        <w:shd w:fill="E8E8E8" w:val="clear"/>
      </w:pPr>
      <w:r>
        <w:rPr>
          <w:i/>
          <w:color w:val="444444"/>
          <w:sz w:val="18"/>
        </w:rPr>
        <w:t>Speaker Notes: The product model</w:t>
        <w:br/>
        <w:t>This is a generalized object model for the product model. The value of creating Products using the product model lies in the fact that you can reuse the framework for a given line of business to create a variety of LOB combinations for a single product.</w:t>
        <w:br/>
        <w:br/>
        <w:t>In this lesson, you will focus only on how PolicyCenter uses the terms Product, Policy Line, Coverages, Categories, Coverage Terms and Availability. Note that "Clauses" refers to coverages, exclusions, or conditions. Forms are treated separately in PolicyCenter, but are relevant to coverages. A coverage may trigger the addition of a Form to the policy. A full lesson about Forms is available in the Kickstart material. More details about the remaining boxes will be covered in PolicyCenter’s Introduction Essentials content.</w:t>
      </w:r>
    </w:p>
    <w:p>
      <w:pPr>
        <w:pStyle w:val="Heading3"/>
      </w:pPr>
      <w:r>
        <w:rPr>
          <w:sz w:val="24"/>
        </w:rPr>
        <w:t>Slide 13/27: (Untitled)</w:t>
      </w:r>
    </w:p>
    <w:p>
      <w:r>
        <w:rPr>
          <w:i/>
          <w:color w:val="888888"/>
        </w:rPr>
        <w:t>[Image placeholder]</w:t>
      </w:r>
    </w:p>
    <w:p>
      <w:pPr>
        <w:spacing w:before="80" w:after="80"/>
        <w:shd w:fill="E8E8E8" w:val="clear"/>
      </w:pPr>
      <w:r>
        <w:rPr>
          <w:i/>
          <w:color w:val="444444"/>
          <w:sz w:val="18"/>
        </w:rPr>
        <w:t>Speaker Notes: Product model with examples</w:t>
        <w:br/>
        <w:t>Before diving into the details of how to add a coverage to PolicyCenter, you have to see how the product model is set up and where the coverage fits into the model. The product model is set up using patterns. The concept of a pattern is more important to configuration developers than business analysts, but it is mentioned here for completeness. A businessanalyst needs to know that a coverage is connected to a specific policy line (PolicyLine pattern) and the associated product.</w:t>
        <w:br/>
        <w:br/>
        <w:t>This is a generalized model that shows where the coverage sits in relation to other parts of the product model. The screenshots to the right of the graphic show how the conceptual model relates to what is seen in PolicyCenter. The Policy Line under the Product, is a generalized referral to the LOB. A configuration developer refers to the Policy Line as a PolicyLine pattern.</w:t>
        <w:br/>
        <w:br/>
        <w:t>In this example, the Personal Auto product could have three types of policies (Collector Vehicle, Motorcycles and Off- Road are all Policy Line varieties which are not shown in the graphic). These Policy Types have Bodily Injury and Property Damage coverage, which fall under the Liability Coverage category. CovTerms refers to the coverage terms for the Bodily Injury and Property Damage coverage.</w:t>
      </w:r>
    </w:p>
    <w:p>
      <w:pPr>
        <w:pStyle w:val="Heading3"/>
      </w:pPr>
      <w:r>
        <w:rPr>
          <w:sz w:val="24"/>
        </w:rPr>
        <w:t>Slide 14/27: (Untitled)</w:t>
      </w:r>
    </w:p>
    <w:p>
      <w:r>
        <w:rPr>
          <w:i/>
          <w:color w:val="888888"/>
        </w:rPr>
        <w:t>[Image placeholder]</w:t>
      </w:r>
    </w:p>
    <w:p>
      <w:pPr>
        <w:spacing w:before="80" w:after="80"/>
        <w:shd w:fill="E8E8E8" w:val="clear"/>
      </w:pPr>
      <w:r>
        <w:rPr>
          <w:i/>
          <w:color w:val="444444"/>
          <w:sz w:val="18"/>
        </w:rPr>
        <w:t>Speaker Notes: Availability</w:t>
        <w:br/>
        <w:t>The availability of a product or coverage can depend on different factors. A common availability example in the U.S. is whether a coverage is visible for a policy in a specific jurisdictiom Availability is applied at all levels within the product model, and can be extended to include additional criteria.</w:t>
      </w:r>
    </w:p>
    <w:p>
      <w:pPr>
        <w:pStyle w:val="Heading3"/>
      </w:pPr>
      <w:r>
        <w:rPr>
          <w:sz w:val="24"/>
        </w:rPr>
        <w:t>Slide 15/27: (Untitled)</w:t>
      </w:r>
    </w:p>
    <w:p>
      <w:r>
        <w:rPr>
          <w:i/>
          <w:color w:val="888888"/>
        </w:rPr>
        <w:t>[Image placeholder]</w:t>
      </w:r>
    </w:p>
    <w:p>
      <w:pPr>
        <w:pStyle w:val="Heading3"/>
      </w:pPr>
      <w:r>
        <w:rPr>
          <w:sz w:val="24"/>
        </w:rPr>
        <w:t>Slide 16/27: (Untitled)</w:t>
      </w:r>
    </w:p>
    <w:p>
      <w:r>
        <w:rPr>
          <w:i/>
          <w:color w:val="888888"/>
        </w:rPr>
        <w:t>[Image placeholder]</w:t>
      </w:r>
    </w:p>
    <w:p>
      <w:pPr>
        <w:pStyle w:val="Heading3"/>
      </w:pPr>
      <w:r>
        <w:rPr>
          <w:sz w:val="24"/>
        </w:rPr>
        <w:t>Slide 17/27: (Untitled)</w:t>
      </w:r>
    </w:p>
    <w:p>
      <w:r>
        <w:rPr>
          <w:i/>
          <w:color w:val="888888"/>
        </w:rPr>
        <w:t>[Image placeholder]</w:t>
      </w:r>
    </w:p>
    <w:p>
      <w:pPr>
        <w:pStyle w:val="Heading3"/>
      </w:pPr>
      <w:r>
        <w:rPr>
          <w:sz w:val="24"/>
        </w:rPr>
        <w:t>Slide 18/27: (Untitled)</w:t>
      </w:r>
    </w:p>
    <w:p>
      <w:r>
        <w:rPr>
          <w:i/>
          <w:color w:val="888888"/>
        </w:rPr>
        <w:t>[Image placeholder]</w:t>
      </w:r>
    </w:p>
    <w:p>
      <w:pPr>
        <w:pStyle w:val="Heading3"/>
      </w:pPr>
      <w:r>
        <w:rPr>
          <w:sz w:val="24"/>
        </w:rPr>
        <w:t>Slide 19/27: (Untitled)</w:t>
      </w:r>
    </w:p>
    <w:p>
      <w:r>
        <w:rPr>
          <w:i/>
          <w:color w:val="888888"/>
        </w:rPr>
        <w:t>[Image placeholder]</w:t>
      </w:r>
    </w:p>
    <w:p>
      <w:pPr>
        <w:spacing w:before="80" w:after="80"/>
        <w:shd w:fill="E8E8E8" w:val="clear"/>
      </w:pPr>
      <w:r>
        <w:rPr>
          <w:i/>
          <w:color w:val="444444"/>
          <w:sz w:val="18"/>
        </w:rPr>
        <w:t>Speaker Notes: Learner story</w:t>
        <w:br/>
        <w:t>Advanced Product Designer is more than just a product modeling tool.</w:t>
        <w:br/>
        <w:t>Using Advanced Product Designer, you can:</w:t>
        <w:br/>
        <w:t>1.Define and model a new insurance product, including coverages, exclusions,  conditions, risk details, and other attributes.</w:t>
        <w:br/>
        <w:t>2.Auto-generate insurance product artifacts for PolicyCenter based on the business requirements including:</w:t>
        <w:br/>
        <w:t>•   The entity model: All needed entities and their attributes, typelists, The Product model: Product, Policy Line, Clauses, Clause terms, and</w:t>
        <w:br/>
        <w:t>A full set of Page Configuration Format (PCF) files to support all policy transactions.</w:t>
      </w:r>
    </w:p>
    <w:p>
      <w:pPr>
        <w:pStyle w:val="Heading3"/>
      </w:pPr>
      <w:r>
        <w:rPr>
          <w:sz w:val="24"/>
        </w:rPr>
        <w:t>Slide 20/27: (Untitled)</w:t>
      </w:r>
    </w:p>
    <w:p>
      <w:r>
        <w:rPr>
          <w:i/>
          <w:color w:val="888888"/>
        </w:rPr>
        <w:t>[Image placeholder]</w:t>
      </w:r>
    </w:p>
    <w:p>
      <w:pPr>
        <w:spacing w:before="80" w:after="80"/>
        <w:shd w:fill="E8E8E8" w:val="clear"/>
      </w:pPr>
      <w:r>
        <w:rPr>
          <w:i/>
          <w:color w:val="444444"/>
          <w:sz w:val="18"/>
        </w:rPr>
        <w:t>Speaker Notes: What is Advanced Product Designer(APD)?</w:t>
        <w:br/>
        <w:t>Advanced Product Designer offers an easy approach to rapid product design and deployment within Guidewire's PolicyCenter.</w:t>
        <w:br/>
        <w:br/>
        <w:t>Advanced Product Designer is a business tool that helps insurers:</w:t>
        <w:br/>
        <w:t>Design an insurance product based on the business requirements.</w:t>
        <w:br/>
        <w:t>It supports subclause relationships, for example, a coverage may have multiple sub- coverages.</w:t>
        <w:br/>
        <w:t>Simulate policy transactions for that insurance product in PolicyCenter.</w:t>
        <w:br/>
        <w:t>Generate and deploy the product.</w:t>
        <w:br/>
        <w:br/>
        <w:t>With Advanced Product Designer, Business Analysts can quickly build-out new insurance products and launch them using PolicyCenter. This gives customers agility to adapt quickly to market needs. Advanced Product Designer can also be used as a tool to facilitate a business level discussions about product with all stakeholders early in the project.</w:t>
      </w:r>
    </w:p>
    <w:p>
      <w:pPr>
        <w:pStyle w:val="Heading3"/>
      </w:pPr>
      <w:r>
        <w:rPr>
          <w:sz w:val="24"/>
        </w:rPr>
        <w:t>Slide 21/27: (Untitled)</w:t>
      </w:r>
    </w:p>
    <w:p>
      <w:r>
        <w:rPr>
          <w:i/>
          <w:color w:val="888888"/>
        </w:rPr>
        <w:t>[Image placeholder]</w:t>
      </w:r>
    </w:p>
    <w:p>
      <w:pPr>
        <w:spacing w:before="80" w:after="80"/>
        <w:shd w:fill="E8E8E8" w:val="clear"/>
      </w:pPr>
      <w:r>
        <w:rPr>
          <w:i/>
          <w:color w:val="444444"/>
          <w:sz w:val="18"/>
        </w:rPr>
        <w:t>Speaker Notes: Advanced Product Designer versus Product Designer</w:t>
        <w:br/>
        <w:t>Remember, APD is a starting point for adding:</w:t>
        <w:br/>
        <w:t>Add New Products</w:t>
        <w:br/>
        <w:t>Add New Policy Lines</w:t>
        <w:br/>
        <w:t>Add New clauses: coverages, conditions, and exclusions</w:t>
        <w:br/>
        <w:br/>
        <w:t>After you generate a new product using Advanced Product Designer, that product then displays in Product Designer.</w:t>
        <w:br/>
        <w:br/>
        <w:t>You can then further enhance that product in Product Designer, using some of the following Product Designer capabilities:</w:t>
        <w:br/>
        <w:t>Define Offerings, Question Sets, and Modifiers, and</w:t>
        <w:br/>
        <w:t>Add code to perform an action when a clause is added or removed.</w:t>
        <w:br/>
        <w:br/>
        <w:t>Also, validation rules, business rules, pricing for rating and event data (perils) cannot be generated for product using Advanced Product Designer. After generating the product, use other Guidewire tools to finish developing the product:</w:t>
        <w:br/>
        <w:t>Guidewire Studio — for adding new fields, changes to the user interface, adding validation or business rules, and for entering code for forms management and other integrations.</w:t>
        <w:br/>
        <w:t>PolicyCenter's Administration utility - for adding Underwriting Rules and Rate Books.</w:t>
      </w:r>
    </w:p>
    <w:p>
      <w:pPr>
        <w:pStyle w:val="Heading3"/>
      </w:pPr>
      <w:r>
        <w:rPr>
          <w:sz w:val="24"/>
        </w:rPr>
        <w:t>Slide 22/27: (Untitled)</w:t>
      </w:r>
    </w:p>
    <w:p>
      <w:r>
        <w:rPr>
          <w:i/>
          <w:color w:val="888888"/>
        </w:rPr>
        <w:t>[Image placeholder]</w:t>
      </w:r>
    </w:p>
    <w:p>
      <w:pPr>
        <w:pStyle w:val="Heading3"/>
      </w:pPr>
      <w:r>
        <w:rPr>
          <w:sz w:val="24"/>
        </w:rPr>
        <w:t>Slide 23/27: (Untitled)</w:t>
      </w:r>
    </w:p>
    <w:p>
      <w:r>
        <w:rPr>
          <w:i/>
          <w:color w:val="888888"/>
        </w:rPr>
        <w:t>[Image placeholder]</w:t>
      </w:r>
    </w:p>
    <w:p>
      <w:pPr>
        <w:pStyle w:val="Heading3"/>
      </w:pPr>
      <w:r>
        <w:rPr>
          <w:sz w:val="24"/>
        </w:rPr>
        <w:t>Slide 24/27: (Untitled)</w:t>
      </w:r>
    </w:p>
    <w:p>
      <w:r>
        <w:rPr>
          <w:i/>
          <w:color w:val="888888"/>
        </w:rPr>
        <w:t>[Image placeholder]</w:t>
      </w:r>
    </w:p>
    <w:p>
      <w:pPr>
        <w:pStyle w:val="Heading3"/>
      </w:pPr>
      <w:r>
        <w:rPr>
          <w:sz w:val="24"/>
        </w:rPr>
        <w:t>Slide 25/27: (Untitled)</w:t>
      </w:r>
    </w:p>
    <w:p>
      <w:r>
        <w:rPr>
          <w:i/>
          <w:color w:val="888888"/>
        </w:rPr>
        <w:t>[Image placeholder]</w:t>
      </w:r>
    </w:p>
    <w:p>
      <w:pPr>
        <w:pStyle w:val="Heading3"/>
      </w:pPr>
      <w:r>
        <w:rPr>
          <w:sz w:val="24"/>
        </w:rPr>
        <w:t>Slide 26/27: (Untitled)</w:t>
      </w:r>
    </w:p>
    <w:p>
      <w:r>
        <w:rPr>
          <w:i/>
          <w:color w:val="888888"/>
        </w:rPr>
        <w:t>[Image placeholder]</w:t>
      </w:r>
    </w:p>
    <w:p>
      <w:pPr>
        <w:pStyle w:val="Heading3"/>
      </w:pPr>
      <w:r>
        <w:rPr>
          <w:sz w:val="24"/>
        </w:rPr>
        <w:t>Slide 27/27: (Untitled)</w:t>
      </w:r>
    </w:p>
    <w:p>
      <w:r>
        <w:rPr>
          <w:i/>
          <w:color w:val="888888"/>
        </w:rPr>
        <w:t>[Image placeholder]</w:t>
      </w:r>
    </w:p>
    <w:p>
      <w:pPr>
        <w:pStyle w:val="Heading2"/>
      </w:pPr>
      <w:r>
        <w:t>Assignment</w:t>
      </w:r>
    </w:p>
    <w:p>
      <w:r>
        <w:rPr>
          <w:b/>
          <w:color w:val="008800"/>
        </w:rPr>
        <w:t>[Assignment 04]: 04_Product Model Introduction</w:t>
      </w:r>
    </w:p>
    <w:p>
      <w:r>
        <w:rPr>
          <w:i/>
          <w:sz w:val="18"/>
        </w:rPr>
        <w:t>File: 04_Product Model Introduction.pdf</w:t>
      </w:r>
    </w:p>
    <w:p/>
    <w:p>
      <w:pPr>
        <w:spacing w:before="240"/>
        <w:jc w:val="center"/>
      </w:pPr>
      <w:r>
        <w:rPr>
          <w:i/>
          <w:color w:val="999999"/>
          <w:sz w:val="16"/>
        </w:rPr>
        <w:t>--- End of Lesson 4: Product Model Introduction | 27 slides | 47 videos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