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04: PolicyCenter Introduction</w:t>
      </w:r>
    </w:p>
    <w:p>
      <w:pPr>
        <w:pStyle w:val="Heading2"/>
      </w:pPr>
      <w:r>
        <w:rPr>
          <w:color w:val="333333"/>
          <w:sz w:val="28"/>
        </w:rPr>
        <w:t>Lesson 9: Cancellation, Reinstatement and Rewrite</w:t>
      </w:r>
    </w:p>
    <w:p>
      <w:pPr>
        <w:spacing w:after="40"/>
      </w:pPr>
      <w:r>
        <w:rPr>
          <w:i/>
          <w:color w:val="999999"/>
          <w:sz w:val="16"/>
        </w:rPr>
        <w:t>Source: In_policy_10_ Cancellation, Reinstatement and Rewrite.pptx</w:t>
      </w:r>
    </w:p>
    <w:p>
      <w:pPr>
        <w:pStyle w:val="Heading3"/>
      </w:pPr>
      <w:r>
        <w:t>Video References</w:t>
      </w:r>
    </w:p>
    <w:p>
      <w:pPr>
        <w:pStyle w:val="ListNumber"/>
      </w:pPr>
      <w:r>
        <w:rPr>
          <w:color w:val="0066CC"/>
          <w:sz w:val="20"/>
        </w:rPr>
        <w:t>[Video 1: In_Policy_07_01.mp4]</w:t>
      </w:r>
    </w:p>
    <w:p>
      <w:pPr>
        <w:pStyle w:val="ListNumber"/>
      </w:pPr>
      <w:r>
        <w:rPr>
          <w:color w:val="0066CC"/>
          <w:sz w:val="20"/>
        </w:rPr>
        <w:t>[Video 2: In_Policy_08_01.mp4]</w:t>
      </w:r>
    </w:p>
    <w:p>
      <w:pPr>
        <w:pStyle w:val="ListNumber"/>
      </w:pPr>
      <w:r>
        <w:rPr>
          <w:color w:val="0066CC"/>
          <w:sz w:val="20"/>
        </w:rPr>
        <w:t>[Video 3: In_Policy_08_02.mp4]</w:t>
      </w:r>
    </w:p>
    <w:p>
      <w:pPr>
        <w:pStyle w:val="ListNumber"/>
      </w:pPr>
      <w:r>
        <w:rPr>
          <w:color w:val="0066CC"/>
          <w:sz w:val="20"/>
        </w:rPr>
        <w:t>[Video 4: In_Policy_09_01.mp4]</w:t>
      </w:r>
    </w:p>
    <w:p>
      <w:pPr>
        <w:pStyle w:val="ListNumber"/>
      </w:pPr>
      <w:r>
        <w:rPr>
          <w:color w:val="0066CC"/>
          <w:sz w:val="20"/>
        </w:rPr>
        <w:t>[Video 5: In_Policy_09_02.mp4]</w:t>
      </w:r>
    </w:p>
    <w:p>
      <w:pPr>
        <w:pStyle w:val="ListNumber"/>
      </w:pPr>
      <w:r>
        <w:rPr>
          <w:color w:val="0066CC"/>
          <w:sz w:val="20"/>
        </w:rPr>
        <w:t>[Video 6: In_Policy_09_03.mp4]</w:t>
      </w:r>
    </w:p>
    <w:p>
      <w:pPr>
        <w:pStyle w:val="ListNumber"/>
      </w:pPr>
      <w:r>
        <w:rPr>
          <w:color w:val="0066CC"/>
          <w:sz w:val="20"/>
        </w:rPr>
        <w:t>[Video 7: In_Policy_10_01.mp4]</w:t>
      </w:r>
    </w:p>
    <w:p>
      <w:pPr>
        <w:pStyle w:val="ListNumber"/>
      </w:pPr>
      <w:r>
        <w:rPr>
          <w:color w:val="0066CC"/>
          <w:sz w:val="20"/>
        </w:rPr>
        <w:t>[Video 8: In_Policy_10_02.mp4]</w:t>
      </w:r>
    </w:p>
    <w:p>
      <w:pPr>
        <w:pStyle w:val="ListNumber"/>
      </w:pPr>
      <w:r>
        <w:rPr>
          <w:color w:val="0066CC"/>
          <w:sz w:val="20"/>
        </w:rPr>
        <w:t>[Video 9: In_Policy_11_01.mp4]</w:t>
      </w:r>
    </w:p>
    <w:p>
      <w:pPr>
        <w:pStyle w:val="ListNumber"/>
      </w:pPr>
      <w:r>
        <w:rPr>
          <w:color w:val="0066CC"/>
          <w:sz w:val="20"/>
        </w:rPr>
        <w:t>[Video 10: In_Policy_12_01.mp4]</w:t>
      </w:r>
    </w:p>
    <w:p>
      <w:pPr>
        <w:pStyle w:val="ListNumber"/>
      </w:pPr>
      <w:r>
        <w:rPr>
          <w:color w:val="0066CC"/>
          <w:sz w:val="20"/>
        </w:rPr>
        <w:t>[Video 11: In_Policy_13_01.mp4]</w:t>
      </w:r>
    </w:p>
    <w:p>
      <w:pPr>
        <w:pStyle w:val="ListNumber"/>
      </w:pPr>
      <w:r>
        <w:rPr>
          <w:color w:val="0066CC"/>
          <w:sz w:val="20"/>
        </w:rPr>
        <w:t>[Video 12: In_Policy_13_02.mp4]</w:t>
      </w:r>
    </w:p>
    <w:p>
      <w:pPr>
        <w:pStyle w:val="ListNumber"/>
      </w:pPr>
      <w:r>
        <w:rPr>
          <w:color w:val="0066CC"/>
          <w:sz w:val="20"/>
        </w:rPr>
        <w:t>[Video 13: In_Policy_13_03.mp4]</w:t>
      </w:r>
    </w:p>
    <w:p>
      <w:pPr>
        <w:pStyle w:val="ListNumber"/>
      </w:pPr>
      <w:r>
        <w:rPr>
          <w:color w:val="0066CC"/>
          <w:sz w:val="20"/>
        </w:rPr>
        <w:t>[Video 14: In_Policy_14_01.mp4]</w:t>
      </w:r>
    </w:p>
    <w:p>
      <w:pPr>
        <w:pStyle w:val="ListNumber"/>
      </w:pPr>
      <w:r>
        <w:rPr>
          <w:color w:val="0066CC"/>
          <w:sz w:val="20"/>
        </w:rPr>
        <w:t>[Video 15: In_Policy_15_01.mp4]</w:t>
      </w:r>
    </w:p>
    <w:p>
      <w:pPr>
        <w:pStyle w:val="ListNumber"/>
      </w:pPr>
      <w:r>
        <w:rPr>
          <w:color w:val="0066CC"/>
          <w:sz w:val="20"/>
        </w:rPr>
        <w:t>[Video 16: In_Policy_16_01.mp4]</w:t>
      </w:r>
    </w:p>
    <w:p>
      <w:pPr>
        <w:pStyle w:val="ListNumber"/>
      </w:pPr>
      <w:r>
        <w:rPr>
          <w:color w:val="0066CC"/>
          <w:sz w:val="20"/>
        </w:rPr>
        <w:t>[Video 17: In_Policy_16_02.mp4]</w:t>
      </w:r>
    </w:p>
    <w:p>
      <w:pPr>
        <w:pStyle w:val="ListNumber"/>
      </w:pPr>
      <w:r>
        <w:rPr>
          <w:color w:val="0066CC"/>
          <w:sz w:val="20"/>
        </w:rPr>
        <w:t>[Video 18: In_Policy_16_03.mp4]</w:t>
      </w:r>
    </w:p>
    <w:p>
      <w:pPr>
        <w:pStyle w:val="ListNumber"/>
      </w:pPr>
      <w:r>
        <w:rPr>
          <w:color w:val="0066CC"/>
          <w:sz w:val="20"/>
        </w:rPr>
        <w:t>[Video 19: In_Policy_17_01.mp4]</w:t>
      </w:r>
    </w:p>
    <w:p>
      <w:pPr>
        <w:pStyle w:val="ListNumber"/>
      </w:pPr>
      <w:r>
        <w:rPr>
          <w:color w:val="0066CC"/>
          <w:sz w:val="20"/>
        </w:rPr>
        <w:t>[Video 20: In_Policy_17_02.mp4]</w:t>
      </w:r>
    </w:p>
    <w:p>
      <w:pPr>
        <w:pStyle w:val="ListNumber"/>
      </w:pPr>
      <w:r>
        <w:rPr>
          <w:color w:val="0066CC"/>
          <w:sz w:val="20"/>
        </w:rPr>
        <w:t>[Video 21: In_Policy_18_01.mp4]</w:t>
      </w:r>
    </w:p>
    <w:p>
      <w:pPr>
        <w:pStyle w:val="ListNumber"/>
      </w:pPr>
      <w:r>
        <w:rPr>
          <w:color w:val="0066CC"/>
          <w:sz w:val="20"/>
        </w:rPr>
        <w:t>[Video 22: In_Policy_19_01.mp4]</w:t>
      </w:r>
    </w:p>
    <w:p>
      <w:pPr>
        <w:pStyle w:val="ListNumber"/>
      </w:pPr>
      <w:r>
        <w:rPr>
          <w:color w:val="0066CC"/>
          <w:sz w:val="20"/>
        </w:rPr>
        <w:t>[Video 23: In_Policy_19_02 .mp4]</w:t>
      </w:r>
    </w:p>
    <w:p>
      <w:pPr>
        <w:pStyle w:val="ListNumber"/>
      </w:pPr>
      <w:r>
        <w:rPr>
          <w:color w:val="0066CC"/>
          <w:sz w:val="20"/>
        </w:rPr>
        <w:t>[Video 24: In_Policy_20_01.mp4]</w:t>
      </w:r>
    </w:p>
    <w:p>
      <w:pPr>
        <w:pStyle w:val="ListNumber"/>
      </w:pPr>
      <w:r>
        <w:rPr>
          <w:color w:val="0066CC"/>
          <w:sz w:val="20"/>
        </w:rPr>
        <w:t>[Video 25: In_Policy_21_01.mp4]</w:t>
      </w:r>
    </w:p>
    <w:p>
      <w:pPr>
        <w:pStyle w:val="ListNumber"/>
      </w:pPr>
      <w:r>
        <w:rPr>
          <w:color w:val="0066CC"/>
          <w:sz w:val="20"/>
        </w:rPr>
        <w:t>[Video 26: In_Policy_21_02.mp4]</w:t>
      </w:r>
    </w:p>
    <w:p>
      <w:pPr>
        <w:pStyle w:val="ListNumber"/>
      </w:pPr>
      <w:r>
        <w:rPr>
          <w:color w:val="0066CC"/>
          <w:sz w:val="20"/>
        </w:rPr>
        <w:t>[Video 27: In_Policy_21_03.mp4]</w:t>
      </w:r>
    </w:p>
    <w:p>
      <w:pPr>
        <w:pStyle w:val="ListNumber"/>
      </w:pPr>
      <w:r>
        <w:rPr>
          <w:color w:val="0066CC"/>
          <w:sz w:val="20"/>
        </w:rPr>
        <w:t>[Video 28: In_Policy_22_01.mp4]</w:t>
      </w:r>
    </w:p>
    <w:p>
      <w:pPr>
        <w:pStyle w:val="ListNumber"/>
      </w:pPr>
      <w:r>
        <w:rPr>
          <w:color w:val="0066CC"/>
          <w:sz w:val="20"/>
        </w:rPr>
        <w:t>[Video 29: In_Policy_23_01.mp4]</w:t>
      </w:r>
    </w:p>
    <w:p>
      <w:pPr>
        <w:pStyle w:val="ListNumber"/>
      </w:pPr>
      <w:r>
        <w:rPr>
          <w:color w:val="0066CC"/>
          <w:sz w:val="20"/>
        </w:rPr>
        <w:t>[Video 30: In_Policy_24_01.mp4]</w:t>
      </w:r>
    </w:p>
    <w:p>
      <w:pPr>
        <w:pStyle w:val="ListNumber"/>
      </w:pPr>
      <w:r>
        <w:rPr>
          <w:color w:val="0066CC"/>
          <w:sz w:val="20"/>
        </w:rPr>
        <w:t>[Video 31: In_Policy_24_02.mp4]</w:t>
      </w:r>
    </w:p>
    <w:p>
      <w:pPr>
        <w:pStyle w:val="ListNumber"/>
      </w:pPr>
      <w:r>
        <w:rPr>
          <w:color w:val="0066CC"/>
          <w:sz w:val="20"/>
        </w:rPr>
        <w:t>[Video 32: In_Policy_25_01.mp4]</w:t>
      </w:r>
    </w:p>
    <w:p>
      <w:pPr>
        <w:pStyle w:val="ListNumber"/>
      </w:pPr>
      <w:r>
        <w:rPr>
          <w:color w:val="0066CC"/>
          <w:sz w:val="20"/>
        </w:rPr>
        <w:t>[Video 33: In_Policy_26_01.mp4]</w:t>
      </w:r>
    </w:p>
    <w:p>
      <w:pPr>
        <w:pStyle w:val="ListNumber"/>
      </w:pPr>
      <w:r>
        <w:rPr>
          <w:color w:val="0066CC"/>
          <w:sz w:val="20"/>
        </w:rPr>
        <w:t>[Video 34: In_Policy_27_01.mp4]</w:t>
      </w:r>
    </w:p>
    <w:p>
      <w:pPr>
        <w:pStyle w:val="ListNumber"/>
      </w:pPr>
      <w:r>
        <w:rPr>
          <w:color w:val="0066CC"/>
          <w:sz w:val="20"/>
        </w:rPr>
        <w:t>[Video 35: In_Policy_28_01.mp4]</w:t>
      </w:r>
    </w:p>
    <w:p>
      <w:pPr>
        <w:pStyle w:val="ListNumber"/>
      </w:pPr>
      <w:r>
        <w:rPr>
          <w:color w:val="0066CC"/>
          <w:sz w:val="20"/>
        </w:rPr>
        <w:t>[Video 36: In_Policy_28_02.mp4]</w:t>
      </w:r>
    </w:p>
    <w:p>
      <w:pPr>
        <w:pStyle w:val="ListNumber"/>
      </w:pPr>
      <w:r>
        <w:rPr>
          <w:color w:val="0066CC"/>
          <w:sz w:val="20"/>
        </w:rPr>
        <w:t>[Video 37: In_Policy_29_01.mp4]</w:t>
      </w:r>
    </w:p>
    <w:p>
      <w:pPr>
        <w:pStyle w:val="ListNumber"/>
      </w:pPr>
      <w:r>
        <w:rPr>
          <w:color w:val="0066CC"/>
          <w:sz w:val="20"/>
        </w:rPr>
        <w:t>[Video 38: In_Policy_30_01.mp4]</w:t>
      </w:r>
    </w:p>
    <w:p>
      <w:pPr>
        <w:pStyle w:val="ListNumber"/>
      </w:pPr>
      <w:r>
        <w:rPr>
          <w:color w:val="0066CC"/>
          <w:sz w:val="20"/>
        </w:rPr>
        <w:t>[Video 39: In_policy_01_01.mp4]</w:t>
      </w:r>
    </w:p>
    <w:p>
      <w:pPr>
        <w:pStyle w:val="ListNumber"/>
      </w:pPr>
      <w:r>
        <w:rPr>
          <w:color w:val="0066CC"/>
          <w:sz w:val="20"/>
        </w:rPr>
        <w:t>[Video 40: In_policy_01_02.mp4]</w:t>
      </w:r>
    </w:p>
    <w:p>
      <w:pPr>
        <w:pStyle w:val="ListNumber"/>
      </w:pPr>
      <w:r>
        <w:rPr>
          <w:color w:val="0066CC"/>
          <w:sz w:val="20"/>
        </w:rPr>
        <w:t>[Video 41: In_policy_03_01.mp4]</w:t>
      </w:r>
    </w:p>
    <w:p>
      <w:pPr>
        <w:pStyle w:val="ListNumber"/>
      </w:pPr>
      <w:r>
        <w:rPr>
          <w:color w:val="0066CC"/>
          <w:sz w:val="20"/>
        </w:rPr>
        <w:t>[Video 42: In_policy_03_02.mp4]</w:t>
      </w:r>
    </w:p>
    <w:p>
      <w:pPr>
        <w:pStyle w:val="ListNumber"/>
      </w:pPr>
      <w:r>
        <w:rPr>
          <w:color w:val="0066CC"/>
          <w:sz w:val="20"/>
        </w:rPr>
        <w:t>[Video 43: In_policy_06_01.mp4]</w:t>
      </w:r>
    </w:p>
    <w:p>
      <w:pPr>
        <w:pStyle w:val="ListNumber"/>
      </w:pPr>
      <w:r>
        <w:rPr>
          <w:color w:val="0066CC"/>
          <w:sz w:val="20"/>
        </w:rPr>
        <w:t>[Video 44: In_policy_06_02.mp4]</w:t>
      </w:r>
    </w:p>
    <w:p>
      <w:pPr>
        <w:pStyle w:val="ListNumber"/>
      </w:pPr>
      <w:r>
        <w:rPr>
          <w:color w:val="0066CC"/>
          <w:sz w:val="20"/>
        </w:rPr>
        <w:t>[Video 45: In_policy_06_03.mp4]</w:t>
      </w:r>
    </w:p>
    <w:p>
      <w:pPr>
        <w:pStyle w:val="ListNumber"/>
      </w:pPr>
      <w:r>
        <w:rPr>
          <w:color w:val="0066CC"/>
          <w:sz w:val="20"/>
        </w:rPr>
        <w:t>[Video 46: In_policy_06_04.mp4]</w:t>
      </w:r>
    </w:p>
    <w:p>
      <w:pPr>
        <w:pStyle w:val="ListNumber"/>
      </w:pPr>
      <w:r>
        <w:rPr>
          <w:color w:val="0066CC"/>
          <w:sz w:val="20"/>
        </w:rPr>
        <w:t>[Video 47: In_policy_06_05.mp4]</w:t>
      </w:r>
    </w:p>
    <w:p/>
    <w:p>
      <w:pPr>
        <w:pStyle w:val="Heading2"/>
      </w:pPr>
      <w:r>
        <w:t>Slide Content</w:t>
      </w:r>
    </w:p>
    <w:p>
      <w:pPr>
        <w:pStyle w:val="Heading3"/>
      </w:pPr>
      <w:r>
        <w:rPr>
          <w:sz w:val="24"/>
        </w:rPr>
        <w:t>Slide 1/25: (Untitled)</w:t>
      </w:r>
    </w:p>
    <w:p>
      <w:r>
        <w:rPr>
          <w:i/>
          <w:color w:val="888888"/>
        </w:rPr>
        <w:t>[Image placeholder]</w:t>
      </w:r>
    </w:p>
    <w:p>
      <w:pPr>
        <w:pStyle w:val="Heading3"/>
      </w:pPr>
      <w:r>
        <w:rPr>
          <w:sz w:val="24"/>
        </w:rPr>
        <w:t>Slide 2/25: (Untitled)</w:t>
      </w:r>
    </w:p>
    <w:p>
      <w:r>
        <w:rPr>
          <w:i/>
          <w:color w:val="888888"/>
        </w:rPr>
        <w:t>[Image placeholder]</w:t>
      </w:r>
    </w:p>
    <w:p>
      <w:pPr>
        <w:pStyle w:val="Heading3"/>
      </w:pPr>
      <w:r>
        <w:rPr>
          <w:sz w:val="24"/>
        </w:rPr>
        <w:t>Slide 3/25: (Untitled)</w:t>
      </w:r>
    </w:p>
    <w:p>
      <w:r>
        <w:rPr>
          <w:i/>
          <w:color w:val="888888"/>
        </w:rPr>
        <w:t>[Image placeholder]</w:t>
      </w:r>
    </w:p>
    <w:p>
      <w:pPr>
        <w:pStyle w:val="Heading3"/>
      </w:pPr>
      <w:r>
        <w:rPr>
          <w:sz w:val="24"/>
        </w:rPr>
        <w:t>Slide 4/25: (Untitled)</w:t>
      </w:r>
    </w:p>
    <w:p>
      <w:r>
        <w:rPr>
          <w:i/>
          <w:color w:val="888888"/>
        </w:rPr>
        <w:t>[Image placeholder]</w:t>
      </w:r>
    </w:p>
    <w:p>
      <w:pPr>
        <w:pStyle w:val="Heading3"/>
      </w:pPr>
      <w:r>
        <w:rPr>
          <w:sz w:val="24"/>
        </w:rPr>
        <w:t>Slide 5/25: (Untitled)</w:t>
      </w:r>
    </w:p>
    <w:p>
      <w:r>
        <w:rPr>
          <w:i/>
          <w:color w:val="888888"/>
        </w:rPr>
        <w:t>[Image placeholder]</w:t>
      </w:r>
    </w:p>
    <w:p>
      <w:pPr>
        <w:spacing w:before="80" w:after="80"/>
        <w:shd w:fill="E8E8E8" w:val="clear"/>
      </w:pPr>
      <w:r>
        <w:rPr>
          <w:i/>
          <w:color w:val="444444"/>
          <w:sz w:val="18"/>
        </w:rPr>
        <w:t>Speaker Notes: Cancellations</w:t>
        <w:br/>
        <w:t>It is easier for the insured to cancel a policy than for an insurer to cancel a policy. The insured can choose to discontinue a policy without reason. However,  an insurer cannot discontinue a policy unless the insurer can demonstrate just cause, such as non-payment of premiums,  purposefully providing inaccurate information at the time of submission or fraud.</w:t>
        <w:br/>
        <w:br/>
        <w:t>Common business cases:</w:t>
        <w:br/>
        <w:t>Insured finds a better price elsewhere.</w:t>
        <w:br/>
        <w:t>Insured has not paid premium; insurer cancels the policy.</w:t>
      </w:r>
    </w:p>
    <w:p>
      <w:pPr>
        <w:pStyle w:val="Heading3"/>
      </w:pPr>
      <w:r>
        <w:rPr>
          <w:sz w:val="24"/>
        </w:rPr>
        <w:t>Slide 6/25: (Untitled)</w:t>
      </w:r>
    </w:p>
    <w:p>
      <w:r>
        <w:rPr>
          <w:i/>
          <w:color w:val="888888"/>
        </w:rPr>
        <w:t>[Image placeholder]</w:t>
      </w:r>
    </w:p>
    <w:p>
      <w:pPr>
        <w:pStyle w:val="Heading3"/>
      </w:pPr>
      <w:r>
        <w:rPr>
          <w:sz w:val="24"/>
        </w:rPr>
        <w:t>Slide 7/25: (Untitled)</w:t>
      </w:r>
    </w:p>
    <w:p>
      <w:pPr>
        <w:pStyle w:val="Heading3"/>
      </w:pPr>
      <w:r>
        <w:rPr>
          <w:sz w:val="24"/>
        </w:rPr>
        <w:t>Slide 8/25: (Untitled)</w:t>
      </w:r>
    </w:p>
    <w:p>
      <w:r>
        <w:rPr>
          <w:i/>
          <w:color w:val="888888"/>
        </w:rPr>
        <w:t>[Image placeholder]</w:t>
      </w:r>
    </w:p>
    <w:p>
      <w:pPr>
        <w:spacing w:before="80" w:after="80"/>
        <w:shd w:fill="E8E8E8" w:val="clear"/>
      </w:pPr>
      <w:r>
        <w:rPr>
          <w:i/>
          <w:color w:val="444444"/>
          <w:sz w:val="18"/>
        </w:rPr>
        <w:t>Speaker Notes: Demonstration</w:t>
        <w:br/>
        <w:t>DEMO</w:t>
        <w:br/>
        <w:t>The "Cancel Policy" menu action is available only for policies that do not already have completed cancellation jobs. Cancellation jobs are not always initiated manually.  They could be initiated automatically by a billing system- To start a cancellation job, provide 1) the cancellation source (insured or insurer), 2) The cancellation reason (drop- down), 3) The refund method (describe), 4) The effectivedate for the cancellation.</w:t>
        <w:br/>
        <w:t>1.Locate a policy you created to cancel.</w:t>
        <w:br/>
        <w:t>2.Actions -&gt; Cancel Policy Enter source and select a reason. Describe each</w:t>
        <w:br/>
        <w:t>3.Tell learners that the reason you select will determine the Refund Method, and show it change with different reasons (e.g., Criminal Conduct vs. Policy not- taken). The refund methods are outlined  the student workbook for review. "Flat" : refund all money - typically used if the policy has not yet become effective, "pro rata": prorate ,or "short rate": prorate the refund and subtract processing fee.</w:t>
        <w:br/>
        <w:t>After you enter the required information, select Start Cancellation- This is step 2 in a two-step wizard process-You can either Schedule Cancellation or Cancel Now. The "Schedule Cancellation“ option will schedule the job to be completed on the cancellation effective date- The "Cancel Now" option completes the job immediately, but the policy is still in force until the Cancellation Effective date.</w:t>
      </w:r>
    </w:p>
    <w:p>
      <w:pPr>
        <w:pStyle w:val="Heading3"/>
      </w:pPr>
      <w:r>
        <w:rPr>
          <w:sz w:val="24"/>
        </w:rPr>
        <w:t>Slide 9/25: (Untitled)</w:t>
      </w:r>
    </w:p>
    <w:p>
      <w:r>
        <w:rPr>
          <w:i/>
          <w:color w:val="888888"/>
        </w:rPr>
        <w:t>[Image placeholder]</w:t>
      </w:r>
    </w:p>
    <w:p>
      <w:pPr>
        <w:spacing w:before="80" w:after="80"/>
        <w:shd w:fill="E8E8E8" w:val="clear"/>
      </w:pPr>
      <w:r>
        <w:rPr>
          <w:i/>
          <w:color w:val="444444"/>
          <w:sz w:val="18"/>
        </w:rPr>
        <w:t>Speaker Notes: Reinstatement</w:t>
        <w:br/>
        <w:t>Common business case:</w:t>
        <w:br/>
        <w:t>If the insured misses a premium payment, a cancellation may occur. After the insured makes a payment, the reinstatement occurs.</w:t>
      </w:r>
    </w:p>
    <w:p>
      <w:pPr>
        <w:pStyle w:val="Heading3"/>
      </w:pPr>
      <w:r>
        <w:rPr>
          <w:sz w:val="24"/>
        </w:rPr>
        <w:t>Slide 10/25: (Untitled)</w:t>
      </w:r>
    </w:p>
    <w:p>
      <w:r>
        <w:rPr>
          <w:i/>
          <w:color w:val="888888"/>
        </w:rPr>
        <w:t>[Image placeholder]</w:t>
      </w:r>
    </w:p>
    <w:p>
      <w:pPr>
        <w:pStyle w:val="Heading3"/>
      </w:pPr>
      <w:r>
        <w:rPr>
          <w:sz w:val="24"/>
        </w:rPr>
        <w:t>Slide 11/25: (Untitled)</w:t>
      </w:r>
    </w:p>
    <w:p>
      <w:pPr>
        <w:pStyle w:val="Heading3"/>
      </w:pPr>
      <w:r>
        <w:rPr>
          <w:sz w:val="24"/>
        </w:rPr>
        <w:t>Slide 12/25: (Untitled)</w:t>
      </w:r>
    </w:p>
    <w:p>
      <w:r>
        <w:rPr>
          <w:i/>
          <w:color w:val="888888"/>
        </w:rPr>
        <w:t>[Image placeholder]</w:t>
      </w:r>
    </w:p>
    <w:p>
      <w:pPr>
        <w:pStyle w:val="Heading3"/>
      </w:pPr>
      <w:r>
        <w:rPr>
          <w:sz w:val="24"/>
        </w:rPr>
        <w:t>Slide 13/25: (Untitled)</w:t>
      </w:r>
    </w:p>
    <w:p>
      <w:r>
        <w:rPr>
          <w:i/>
          <w:color w:val="888888"/>
        </w:rPr>
        <w:t>[Image placeholder]</w:t>
      </w:r>
    </w:p>
    <w:p>
      <w:pPr>
        <w:spacing w:before="80" w:after="80"/>
        <w:shd w:fill="E8E8E8" w:val="clear"/>
      </w:pPr>
      <w:r>
        <w:rPr>
          <w:i/>
          <w:color w:val="444444"/>
          <w:sz w:val="18"/>
        </w:rPr>
        <w:t>Speaker Notes: Rewrites</w:t>
        <w:br/>
        <w:t>A rewrite involves a change to a policy that is significant enough that it cannot be captured with a policy change. When a mid-term rewrite is performed, it generally is for the remainder of the term or for a new full term. With a full- term rewrite, the policy is flat canceled. In most cases, the rewrite effective date is the same as the cancellation effective date. This is typically done when:</w:t>
        <w:br/>
        <w:br/>
        <w:t>The original policy was issued with a significant error, and the policy needs to be reissued to remedy the error .</w:t>
        <w:br/>
        <w:br/>
        <w:t>In some cases, the rewrite effective date is after the cancellation effective dates. This is typically performed when:</w:t>
        <w:br/>
        <w:br/>
        <w:t>The original policy was in force and then cancelled. It now needs to be reinstated, but the reinstatement must be effective some time after the cancellation indicating a gap in coverage. This type of scenario cannot be conducted with a reinstatement transaction because a reinstatement transaction must have the same effective and cancellation date.</w:t>
        <w:br/>
        <w:t>The original policy was in force under producer A and is now being transferred to producer B. A policy’s producer is inherent to a policy and cannot be changed through a change transaction.</w:t>
      </w:r>
    </w:p>
    <w:p>
      <w:pPr>
        <w:pStyle w:val="Heading3"/>
      </w:pPr>
      <w:r>
        <w:rPr>
          <w:sz w:val="24"/>
        </w:rPr>
        <w:t>Slide 14/25: (Untitled)</w:t>
      </w:r>
    </w:p>
    <w:p>
      <w:r>
        <w:rPr>
          <w:i/>
          <w:color w:val="888888"/>
        </w:rPr>
        <w:t>[Image placeholder]</w:t>
      </w:r>
    </w:p>
    <w:p>
      <w:pPr>
        <w:spacing w:before="80" w:after="80"/>
        <w:shd w:fill="E8E8E8" w:val="clear"/>
      </w:pPr>
      <w:r>
        <w:rPr>
          <w:i/>
          <w:color w:val="444444"/>
          <w:sz w:val="18"/>
        </w:rPr>
        <w:t>Speaker Notes: Full-term rewrite</w:t>
        <w:br/>
        <w:t>Cancellations must be effective on the start date of the original policy term in a situation when the policy is flat canceled. In the case of a flat cancel followed by a full-term rewrite, the rewrite can start on a different effective date than the cancellation date. A full term rewrite results in the original policy term being completely wiped out. A mid-term rewrite behaves differently.</w:t>
        <w:br/>
        <w:br/>
        <w:t>The Application Guide's *Rewrite Key Features" section discusses the differences between the two in detail.</w:t>
      </w:r>
    </w:p>
    <w:p>
      <w:pPr>
        <w:pStyle w:val="Heading3"/>
      </w:pPr>
      <w:r>
        <w:rPr>
          <w:sz w:val="24"/>
        </w:rPr>
        <w:t>Slide 15/25: (Untitled)</w:t>
      </w:r>
    </w:p>
    <w:p>
      <w:r>
        <w:rPr>
          <w:i/>
          <w:color w:val="888888"/>
        </w:rPr>
        <w:t>[Image placeholder]</w:t>
      </w:r>
    </w:p>
    <w:p>
      <w:pPr>
        <w:spacing w:before="80" w:after="80"/>
        <w:shd w:fill="E8E8E8" w:val="clear"/>
      </w:pPr>
      <w:r>
        <w:rPr>
          <w:i/>
          <w:color w:val="444444"/>
          <w:sz w:val="18"/>
        </w:rPr>
        <w:t>Speaker Notes: Mid-term rewrites</w:t>
        <w:br/>
        <w:t>When performing a midterm rewrite, you would first cancel with the reason •policy rewritten (midterm)". Only if there is a completed cancellation with an effective date not equal to start date of the policy, you can do a midterm rewrite.</w:t>
      </w:r>
    </w:p>
    <w:p>
      <w:pPr>
        <w:pStyle w:val="Heading3"/>
      </w:pPr>
      <w:r>
        <w:rPr>
          <w:sz w:val="24"/>
        </w:rPr>
        <w:t>Slide 16/25: (Untitled)</w:t>
      </w:r>
    </w:p>
    <w:p>
      <w:r>
        <w:rPr>
          <w:i/>
          <w:color w:val="888888"/>
        </w:rPr>
        <w:t>[Image placeholder]</w:t>
      </w:r>
    </w:p>
    <w:p>
      <w:pPr>
        <w:pStyle w:val="Heading3"/>
      </w:pPr>
      <w:r>
        <w:rPr>
          <w:sz w:val="24"/>
        </w:rPr>
        <w:t>Slide 17/25: (Untitled)</w:t>
      </w:r>
    </w:p>
    <w:p>
      <w:pPr>
        <w:pStyle w:val="Heading3"/>
      </w:pPr>
      <w:r>
        <w:rPr>
          <w:sz w:val="24"/>
        </w:rPr>
        <w:t>Slide 18/25: (Untitled)</w:t>
      </w:r>
    </w:p>
    <w:p>
      <w:r>
        <w:rPr>
          <w:i/>
          <w:color w:val="888888"/>
        </w:rPr>
        <w:t>[Image placeholder]</w:t>
      </w:r>
    </w:p>
    <w:p>
      <w:pPr>
        <w:pStyle w:val="Heading3"/>
      </w:pPr>
      <w:r>
        <w:rPr>
          <w:sz w:val="24"/>
        </w:rPr>
        <w:t>Slide 19/25: (Untitled)</w:t>
      </w:r>
    </w:p>
    <w:p>
      <w:r>
        <w:rPr>
          <w:i/>
          <w:color w:val="888888"/>
        </w:rPr>
        <w:t>[Image placeholder]</w:t>
      </w:r>
    </w:p>
    <w:p>
      <w:pPr>
        <w:pStyle w:val="Heading3"/>
      </w:pPr>
      <w:r>
        <w:rPr>
          <w:sz w:val="24"/>
        </w:rPr>
        <w:t>Slide 20/25: (Untitled)</w:t>
      </w:r>
    </w:p>
    <w:p>
      <w:r>
        <w:rPr>
          <w:i/>
          <w:color w:val="888888"/>
        </w:rPr>
        <w:t>[Image placeholder]</w:t>
      </w:r>
    </w:p>
    <w:p>
      <w:pPr>
        <w:pStyle w:val="Heading3"/>
      </w:pPr>
      <w:r>
        <w:rPr>
          <w:sz w:val="24"/>
        </w:rPr>
        <w:t>Slide 21/25: (Untitled)</w:t>
      </w:r>
    </w:p>
    <w:p>
      <w:r>
        <w:rPr>
          <w:i/>
          <w:color w:val="888888"/>
        </w:rPr>
        <w:t>[Image placeholder]</w:t>
      </w:r>
    </w:p>
    <w:p>
      <w:pPr>
        <w:pStyle w:val="Heading3"/>
      </w:pPr>
      <w:r>
        <w:rPr>
          <w:sz w:val="24"/>
        </w:rPr>
        <w:t>Slide 22/25: (Untitled)</w:t>
      </w:r>
    </w:p>
    <w:p>
      <w:r>
        <w:rPr>
          <w:i/>
          <w:color w:val="888888"/>
        </w:rPr>
        <w:t>[Image placeholder]</w:t>
      </w:r>
    </w:p>
    <w:p>
      <w:pPr>
        <w:pStyle w:val="Heading3"/>
      </w:pPr>
      <w:r>
        <w:rPr>
          <w:sz w:val="24"/>
        </w:rPr>
        <w:t>Slide 23/25: (Untitled)</w:t>
      </w:r>
    </w:p>
    <w:p>
      <w:r>
        <w:rPr>
          <w:i/>
          <w:color w:val="888888"/>
        </w:rPr>
        <w:t>[Image placeholder]</w:t>
      </w:r>
    </w:p>
    <w:p>
      <w:pPr>
        <w:pStyle w:val="Heading3"/>
      </w:pPr>
      <w:r>
        <w:rPr>
          <w:sz w:val="24"/>
        </w:rPr>
        <w:t>Slide 24/25: (Untitled)</w:t>
      </w:r>
    </w:p>
    <w:p>
      <w:r>
        <w:rPr>
          <w:i/>
          <w:color w:val="888888"/>
        </w:rPr>
        <w:t>[Image placeholder]</w:t>
      </w:r>
    </w:p>
    <w:p>
      <w:pPr>
        <w:pStyle w:val="Heading3"/>
      </w:pPr>
      <w:r>
        <w:rPr>
          <w:sz w:val="24"/>
        </w:rPr>
        <w:t>Slide 25/25: (Untitled)</w:t>
      </w:r>
    </w:p>
    <w:p>
      <w:r>
        <w:rPr>
          <w:i/>
          <w:color w:val="888888"/>
        </w:rPr>
        <w:t>[Image placeholder]</w:t>
      </w:r>
    </w:p>
    <w:p>
      <w:pPr>
        <w:pStyle w:val="Heading2"/>
      </w:pPr>
      <w:r>
        <w:t>Assignment</w:t>
      </w:r>
    </w:p>
    <w:p>
      <w:r>
        <w:rPr>
          <w:b/>
          <w:color w:val="008800"/>
        </w:rPr>
        <w:t>[Assignment 09]: 09_Cancellation, Reinstatement, and Rewrite</w:t>
      </w:r>
    </w:p>
    <w:p>
      <w:r>
        <w:rPr>
          <w:i/>
          <w:sz w:val="18"/>
        </w:rPr>
        <w:t>File: 09_Cancellation, Reinstatement, and Rewrite.pdf</w:t>
      </w:r>
    </w:p>
    <w:p/>
    <w:p>
      <w:pPr>
        <w:spacing w:before="240"/>
        <w:jc w:val="center"/>
      </w:pPr>
      <w:r>
        <w:rPr>
          <w:i/>
          <w:color w:val="999999"/>
          <w:sz w:val="16"/>
        </w:rPr>
        <w:t>--- End of Lesson 9: Cancellation, Reinstatement and Rewrite | 25 slides | 47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