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11: Users and groups</w:t>
      </w:r>
    </w:p>
    <w:p>
      <w:pPr>
        <w:spacing w:after="40"/>
      </w:pPr>
      <w:r>
        <w:rPr>
          <w:i/>
          <w:color w:val="999999"/>
          <w:sz w:val="16"/>
        </w:rPr>
        <w:t>Source: In_policy_12_ Users and groups.pptx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1/22: (Untitled)</w:t>
      </w:r>
    </w:p>
    <w:p>
      <w:r>
        <w:rPr>
          <w:i/>
          <w:color w:val="888888"/>
        </w:rPr>
        <w:t>[Image placeholder]</w:t>
      </w:r>
    </w:p>
    <w:p>
      <w:pPr>
        <w:pStyle w:val="Heading3"/>
      </w:pPr>
      <w:r>
        <w:rPr>
          <w:sz w:val="24"/>
        </w:rPr>
        <w:t>Slide 2/22: (Untitled)</w:t>
      </w:r>
    </w:p>
    <w:p>
      <w:r>
        <w:rPr>
          <w:i/>
          <w:color w:val="888888"/>
        </w:rPr>
        <w:t>[Image placeholder]</w:t>
      </w:r>
    </w:p>
    <w:p>
      <w:pPr>
        <w:pStyle w:val="Heading3"/>
      </w:pPr>
      <w:r>
        <w:rPr>
          <w:sz w:val="24"/>
        </w:rPr>
        <w:t>Slide 3/22: (Untitled)</w:t>
      </w:r>
    </w:p>
    <w:p>
      <w:r>
        <w:rPr>
          <w:i/>
          <w:color w:val="888888"/>
        </w:rPr>
        <w:t>[Image placeholder]</w:t>
      </w:r>
    </w:p>
    <w:p>
      <w:pPr>
        <w:pStyle w:val="Heading3"/>
      </w:pPr>
      <w:r>
        <w:rPr>
          <w:sz w:val="24"/>
        </w:rPr>
        <w:t>Slide 4/22: (Untitled)</w:t>
      </w:r>
    </w:p>
    <w:p>
      <w:r>
        <w:rPr>
          <w:i/>
          <w:color w:val="888888"/>
        </w:rPr>
        <w:t>[Image placeholder]</w:t>
      </w:r>
    </w:p>
    <w:p>
      <w:pPr>
        <w:spacing w:before="80" w:after="80"/>
        <w:shd w:fill="E8E8E8" w:val="clear"/>
      </w:pPr>
      <w:r>
        <w:rPr>
          <w:i/>
          <w:color w:val="444444"/>
          <w:sz w:val="18"/>
        </w:rPr>
        <w:t>Speaker Notes: Users</w:t>
        <w:br/>
        <w:t>Each policy is usually managed by several users. Every user assigned to a policy has a role to play on that policy, such as an underwriter, a customer service representative or a producer.</w:t>
        <w:br/>
        <w:t>A user can:</w:t>
        <w:br/>
        <w:br/>
        <w:t>perform policy transactions or look up the status of a policy</w:t>
        <w:br/>
        <w:t>manage activities, assignment rules, notes, attached documents, history, team views and more</w:t>
        <w:br/>
        <w:t>belong to one or more groups</w:t>
      </w:r>
    </w:p>
    <w:p>
      <w:pPr>
        <w:pStyle w:val="Heading3"/>
      </w:pPr>
      <w:r>
        <w:rPr>
          <w:sz w:val="24"/>
        </w:rPr>
        <w:t>Slide 5/22: (Untitled)</w:t>
      </w:r>
    </w:p>
    <w:p>
      <w:r>
        <w:rPr>
          <w:i/>
          <w:color w:val="888888"/>
        </w:rPr>
        <w:t>[Image placeholder]</w:t>
      </w:r>
    </w:p>
    <w:p>
      <w:pPr>
        <w:spacing w:before="80" w:after="80"/>
        <w:shd w:fill="E8E8E8" w:val="clear"/>
      </w:pPr>
      <w:r>
        <w:rPr>
          <w:i/>
          <w:color w:val="444444"/>
          <w:sz w:val="18"/>
        </w:rPr>
        <w:t>Speaker Notes: User types</w:t>
        <w:br/>
        <w:t>Typically, the user belongs to at least one group that represents the actual reporting relationship found in the company’s organizational chart This is the main group that the user works in and includes the user’s supervisor. Users can belong to an unlimited number of groups or none at all.</w:t>
        <w:br/>
        <w:t>Captive agents are sometimes internal, however, they are often external users that are not actually employees of the insurer. They have an exclusive contract to do business with that insurer and will often be modeled as external users. In other cases, they are, in fact, employees and would be modeled as intimal users. You can also have internal users who are customer service representatives (CSR) or an equivalent, who are not agents, but are selling policies through a call center and may be using producer codes.</w:t>
      </w:r>
    </w:p>
    <w:p>
      <w:pPr>
        <w:pStyle w:val="Heading3"/>
      </w:pPr>
      <w:r>
        <w:rPr>
          <w:sz w:val="24"/>
        </w:rPr>
        <w:t>Slide 6/22: (Untitled)</w:t>
      </w:r>
    </w:p>
    <w:p>
      <w:r>
        <w:rPr>
          <w:i/>
          <w:color w:val="888888"/>
        </w:rPr>
        <w:t>[Image placeholder]</w:t>
      </w:r>
    </w:p>
    <w:p>
      <w:pPr>
        <w:spacing w:before="80" w:after="80"/>
        <w:shd w:fill="E8E8E8" w:val="clear"/>
      </w:pPr>
      <w:r>
        <w:rPr>
          <w:i/>
          <w:color w:val="444444"/>
          <w:sz w:val="18"/>
        </w:rPr>
        <w:t>Speaker Notes: Groups</w:t>
        <w:br/>
        <w:t>A group is a collection of users, producer codes, queues, and regions. Administrators create groups based on:</w:t>
        <w:br/>
        <w:br/>
        <w:t>geographic regions;</w:t>
        <w:br/>
        <w:t>Divisions; and</w:t>
        <w:br/>
        <w:t>departments</w:t>
        <w:br/>
        <w:br/>
        <w:t>Each group can also contain sub- groups which have their own users and producer codes. Users can belong to one or more groups. Group membership influences several PolicyCenter functionality aspects. For example, once a policy is assigned to a group, the assignment engine can automatically assign it to one of the users in the group using a round robin selection.</w:t>
      </w:r>
    </w:p>
    <w:p>
      <w:pPr>
        <w:pStyle w:val="Heading3"/>
      </w:pPr>
      <w:r>
        <w:rPr>
          <w:sz w:val="24"/>
        </w:rPr>
        <w:t>Slide 7/22: (Untitled)</w:t>
      </w:r>
    </w:p>
    <w:p>
      <w:r>
        <w:rPr>
          <w:i/>
          <w:color w:val="888888"/>
        </w:rPr>
        <w:t>[Image placeholder]</w:t>
      </w:r>
    </w:p>
    <w:p>
      <w:pPr>
        <w:pStyle w:val="Heading3"/>
      </w:pPr>
      <w:r>
        <w:rPr>
          <w:sz w:val="24"/>
        </w:rPr>
        <w:t>Slide 8/22: (Untitled)</w:t>
      </w:r>
    </w:p>
    <w:p>
      <w:r>
        <w:rPr>
          <w:i/>
          <w:color w:val="888888"/>
        </w:rPr>
        <w:t>[Image placeholder]</w:t>
      </w:r>
    </w:p>
    <w:p>
      <w:pPr>
        <w:spacing w:before="80" w:after="80"/>
        <w:shd w:fill="E8E8E8" w:val="clear"/>
      </w:pPr>
      <w:r>
        <w:rPr>
          <w:i/>
          <w:color w:val="444444"/>
          <w:sz w:val="18"/>
        </w:rPr>
        <w:t>Speaker Notes: Managing users</w:t>
        <w:br/>
        <w:t>Administrators define users, assigning group membership, roles, credentials etc- Both the Team tab and theAdministration tab contain User Profile screens that</w:t>
        <w:br/>
        <w:t>allow administrators to define and edit these characteristics.</w:t>
        <w:br/>
        <w:br/>
        <w:t>User information can be viewed and managed in the Administration tab- Users can use the left sidebar links to search or edit users, groups, organizations, regions, or producer codes.They can view, edit or create roles (discussed in detail in the Permisslons lesson). They can also define attributes that the system can use for making assignment decisions.</w:t>
        <w:br/>
        <w:br/>
        <w:t>When you create an external user, the fields and available values in the User sub-tabs change accordingly. External users must be associated with an Organization. The tree browser (as seen on the Administration tab) will always show the home organization of the user (either internal or external).</w:t>
        <w:br/>
        <w:br/>
        <w:t>Typically, the user belongs to at least one group that represents the actual reporting relationship found in the company's organizational chart. This is the main group that the user works in and contains the user’s supervisor. Users can belong to an unlimited number of groups or none at all. An external user cannot view or edit internal users or their organization's details- Access is controlled through the role and producer codes.</w:t>
      </w:r>
    </w:p>
    <w:p>
      <w:pPr>
        <w:pStyle w:val="Heading3"/>
      </w:pPr>
      <w:r>
        <w:rPr>
          <w:sz w:val="24"/>
        </w:rPr>
        <w:t>Slide 9/22: (Untitled)</w:t>
      </w:r>
    </w:p>
    <w:p>
      <w:r>
        <w:rPr>
          <w:i/>
          <w:color w:val="888888"/>
        </w:rPr>
        <w:t>[Image placeholder]</w:t>
      </w:r>
    </w:p>
    <w:p>
      <w:pPr>
        <w:spacing w:before="80" w:after="80"/>
        <w:shd w:fill="E8E8E8" w:val="clear"/>
      </w:pPr>
      <w:r>
        <w:rPr>
          <w:i/>
          <w:color w:val="444444"/>
          <w:sz w:val="18"/>
        </w:rPr>
        <w:t>Speaker Notes: User Access</w:t>
        <w:br/>
        <w:t>Groups:</w:t>
        <w:br/>
        <w:t>The Groups lists which groups the user belongs to, if the user is a member, whether the user is a Manager, load factor permissions and the load factor within that group. This is useful for activity assignments usingassignment rules. Click on a linked group name and open the Groups screen to configure the Groups. Groups are discussed in detail later in this lesson.</w:t>
        <w:br/>
        <w:br/>
        <w:t>Producer Codes from Groups.</w:t>
        <w:br/>
        <w:t>The users automatically obtain all of the producer codes assigned to their groups. A user can create collections of permissions as roles and attach them to</w:t>
        <w:br/>
        <w:t>producer codes, which can then be assigned to users,policies, or accounts. Users for whom Producer Code Security is set to Yes can only use their role</w:t>
        <w:br/>
        <w:t>permissions against policies that have a matching producer code- Only the producer code permissions that match can be used against a policy, even if the user has a larger set of permissions available through their user roles- Both producer code and user role permissions must match in order for the user to gain access.</w:t>
        <w:br/>
        <w:br/>
        <w:t>Additional Producer Codes:</w:t>
        <w:br/>
        <w:t>Users can add producer codes through this option. By default, external producer users can have producer codes from their own organization/groups added. Internal users who have their producer code security turned on can have producer codes from any organization added. However, you can configure the ExternallJserAccess parameter in config.xml to control the level of access for external users.</w:t>
      </w:r>
    </w:p>
    <w:p>
      <w:pPr>
        <w:pStyle w:val="Heading3"/>
      </w:pPr>
      <w:r>
        <w:rPr>
          <w:sz w:val="24"/>
        </w:rPr>
        <w:t>Slide 10/22: (Untitled)</w:t>
      </w:r>
    </w:p>
    <w:p>
      <w:r>
        <w:rPr>
          <w:i/>
          <w:color w:val="888888"/>
        </w:rPr>
        <w:t>[Image placeholder]</w:t>
      </w:r>
    </w:p>
    <w:p>
      <w:pPr>
        <w:spacing w:before="80" w:after="80"/>
        <w:shd w:fill="E8E8E8" w:val="clear"/>
      </w:pPr>
      <w:r>
        <w:rPr>
          <w:i/>
          <w:color w:val="444444"/>
          <w:sz w:val="18"/>
        </w:rPr>
        <w:t>Speaker Notes: Managing groups</w:t>
        <w:br/>
        <w:t>Users should have admin privileges to view the groups using Administration tab. This slide shows the producer codes in the group Eastern Mid-West Region. The producer codes tab shows all of the producer codes available to the parent group,  which can be made available to the current group. All users in this group can use the producer codes available to the group. This is not implicit, a user must be granted access to producer codes and groups through the user's Access tab.</w:t>
      </w:r>
    </w:p>
    <w:p>
      <w:pPr>
        <w:pStyle w:val="Heading3"/>
      </w:pPr>
      <w:r>
        <w:rPr>
          <w:sz w:val="24"/>
        </w:rPr>
        <w:t>Slide 11/22: (Untitled)</w:t>
      </w:r>
    </w:p>
    <w:p>
      <w:r>
        <w:rPr>
          <w:i/>
          <w:color w:val="888888"/>
        </w:rPr>
        <w:t>[Image placeholder]</w:t>
      </w:r>
    </w:p>
    <w:p>
      <w:pPr>
        <w:pStyle w:val="Heading3"/>
      </w:pPr>
      <w:r>
        <w:rPr>
          <w:sz w:val="24"/>
        </w:rPr>
        <w:t>Slide 12/22: (Untitled)</w:t>
      </w:r>
    </w:p>
    <w:p>
      <w:pPr>
        <w:pStyle w:val="Heading3"/>
      </w:pPr>
      <w:r>
        <w:rPr>
          <w:sz w:val="24"/>
        </w:rPr>
        <w:t>Slide 13/22: (Untitled)</w:t>
      </w:r>
    </w:p>
    <w:p>
      <w:r>
        <w:rPr>
          <w:i/>
          <w:color w:val="888888"/>
        </w:rPr>
        <w:t>[Image placeholder]</w:t>
      </w:r>
    </w:p>
    <w:p>
      <w:pPr>
        <w:pStyle w:val="Heading3"/>
      </w:pPr>
      <w:r>
        <w:rPr>
          <w:sz w:val="24"/>
        </w:rPr>
        <w:t>Slide 14/22: (Untitled)</w:t>
      </w:r>
    </w:p>
    <w:p>
      <w:r>
        <w:rPr>
          <w:i/>
          <w:color w:val="888888"/>
        </w:rPr>
        <w:t>[Image placeholder]</w:t>
      </w:r>
    </w:p>
    <w:p>
      <w:pPr>
        <w:spacing w:before="80" w:after="80"/>
        <w:shd w:fill="E8E8E8" w:val="clear"/>
      </w:pPr>
      <w:r>
        <w:rPr>
          <w:i/>
          <w:color w:val="444444"/>
          <w:sz w:val="18"/>
        </w:rPr>
        <w:t>Speaker Notes: Team tab</w:t>
        <w:br/>
        <w:t>Supervisors and managers can manage their teams, obtain status information, monitor caseloads, identify backlogs and reassign activities on the Team tab- In some respects, team management is a reporting tool, where a summary of agroup's workload can be seen You can then drill down to view and manage the workload of a specific team member- The reporting categories for workloads ar : Activities, Submissions, Renewals, and Other Policy Transactions.</w:t>
        <w:br/>
        <w:br/>
        <w:t>The Team screens show the job workload for groups or individual users and can assist the supervisor determine if a user has work to do on a job depending upon the role of the user or whether an activity is assigned to the user- All the tabs display statistics for the current week in base configuration- Batch processes are run at scheduled time intervals based on configurations set in config.xml. The parameters that set the time window used to calculate user statistics are also set in config-xml. Configuration users can configure config.xml using Guidewire Studio.</w:t>
        <w:br/>
        <w:br/>
        <w:t>The Misassigned category contains jobs and activities assigned to the group where the node appears, but was assigned to an invalid user. An invalid user is someone who is no longer a member of the group- Misassigned jobs or activities can appear when a user leaves the group or company and their activities/jobs must be reassigned- Activities and jobs can be mass reassigned. For example, an underwriter is leaving his company, all of his jobs can be reassigned to someone else with one command.</w:t>
      </w:r>
    </w:p>
    <w:p>
      <w:pPr>
        <w:pStyle w:val="Heading3"/>
      </w:pPr>
      <w:r>
        <w:rPr>
          <w:sz w:val="24"/>
        </w:rPr>
        <w:t>Slide 15/22: (Untitled)</w:t>
      </w:r>
    </w:p>
    <w:p>
      <w:r>
        <w:rPr>
          <w:i/>
          <w:color w:val="888888"/>
        </w:rPr>
        <w:t>[Image placeholder]</w:t>
      </w:r>
    </w:p>
    <w:p>
      <w:pPr>
        <w:spacing w:before="80" w:after="80"/>
        <w:shd w:fill="E8E8E8" w:val="clear"/>
      </w:pPr>
      <w:r>
        <w:rPr>
          <w:i/>
          <w:color w:val="444444"/>
          <w:sz w:val="18"/>
        </w:rPr>
        <w:t>Speaker Notes: View by categories</w:t>
        <w:br/>
        <w:t>By Role — Users work on jobs when they have a participating role. A CSR is an example of a role user, where the CSR ensures that a job progresses. The CSR may not have any activities associated with the job, so when the By Role button is clicked, the Team screen displays the jobs where the user is a participant.</w:t>
        <w:br/>
        <w:t>By Activity — These users work on jobs when they are assigned to an activity on the job. An underwriter is an example of a by activity user. For example, one underwriter may be assigned to a large number of policies generated by a group of CSRs. The under writer may participate in thousands of jobs, butthey do not have to take action on each policy .Only when an activity is explicitly assigned to them, do they have to perform a task- Similarly,  for personal lines which renew every six months, a third or more of the policies may have an active renewal in process at any time- Each renewalis assigned to anunder writer, even if the renewal is expected to complete automatically without intervention. These renewal jobs do not represent work for the underwriter unless a job</w:t>
      </w:r>
    </w:p>
    <w:p>
      <w:pPr>
        <w:pStyle w:val="Heading3"/>
      </w:pPr>
      <w:r>
        <w:rPr>
          <w:sz w:val="24"/>
        </w:rPr>
        <w:t>Slide 16/22: (Untitled)</w:t>
      </w:r>
    </w:p>
    <w:p>
      <w:r>
        <w:rPr>
          <w:i/>
          <w:color w:val="888888"/>
        </w:rPr>
        <w:t>[Image placeholder]</w:t>
      </w:r>
    </w:p>
    <w:p>
      <w:pPr>
        <w:pStyle w:val="Heading3"/>
      </w:pPr>
      <w:r>
        <w:rPr>
          <w:sz w:val="24"/>
        </w:rPr>
        <w:t>Slide 17/22: (Untitled)</w:t>
      </w:r>
    </w:p>
    <w:p>
      <w:r>
        <w:rPr>
          <w:i/>
          <w:color w:val="888888"/>
        </w:rPr>
        <w:t>[Image placeholder]</w:t>
      </w:r>
    </w:p>
    <w:p>
      <w:pPr>
        <w:pStyle w:val="Heading3"/>
      </w:pPr>
      <w:r>
        <w:rPr>
          <w:sz w:val="24"/>
        </w:rPr>
        <w:t>Slide 18/22: (Untitled)</w:t>
      </w:r>
    </w:p>
    <w:p>
      <w:pPr>
        <w:pStyle w:val="Heading3"/>
      </w:pPr>
      <w:r>
        <w:rPr>
          <w:sz w:val="24"/>
        </w:rPr>
        <w:t>Slide 19/22: (Untitled)</w:t>
      </w:r>
    </w:p>
    <w:p>
      <w:r>
        <w:rPr>
          <w:i/>
          <w:color w:val="888888"/>
        </w:rPr>
        <w:t>[Image placeholder]</w:t>
      </w:r>
    </w:p>
    <w:p>
      <w:pPr>
        <w:pStyle w:val="Heading3"/>
      </w:pPr>
      <w:r>
        <w:rPr>
          <w:sz w:val="24"/>
        </w:rPr>
        <w:t>Slide 20/22: (Untitled)</w:t>
      </w:r>
    </w:p>
    <w:p>
      <w:r>
        <w:rPr>
          <w:i/>
          <w:color w:val="888888"/>
        </w:rPr>
        <w:t>[Image placeholder]</w:t>
      </w:r>
    </w:p>
    <w:p>
      <w:pPr>
        <w:pStyle w:val="Heading3"/>
      </w:pPr>
      <w:r>
        <w:rPr>
          <w:sz w:val="24"/>
        </w:rPr>
        <w:t>Slide 21/22: (Untitled)</w:t>
      </w:r>
    </w:p>
    <w:p>
      <w:r>
        <w:rPr>
          <w:i/>
          <w:color w:val="888888"/>
        </w:rPr>
        <w:t>[Image placeholder]</w:t>
      </w:r>
    </w:p>
    <w:p>
      <w:pPr>
        <w:pStyle w:val="Heading3"/>
      </w:pPr>
      <w:r>
        <w:rPr>
          <w:sz w:val="24"/>
        </w:rPr>
        <w:t>Slide 22/22: (Untitled)</w:t>
      </w:r>
    </w:p>
    <w:p>
      <w:r>
        <w:rPr>
          <w:i/>
          <w:color w:val="888888"/>
        </w:rPr>
        <w:t>[Image placeholder]</w:t>
      </w:r>
    </w:p>
    <w:p>
      <w:pPr>
        <w:pStyle w:val="Heading2"/>
      </w:pPr>
      <w:r>
        <w:t>Assignment</w:t>
      </w:r>
    </w:p>
    <w:p>
      <w:r>
        <w:rPr>
          <w:b/>
          <w:color w:val="008800"/>
        </w:rPr>
        <w:t>[Assignment 11]: 11_Users and Groups</w:t>
      </w:r>
    </w:p>
    <w:p>
      <w:r>
        <w:rPr>
          <w:i/>
          <w:sz w:val="18"/>
        </w:rPr>
        <w:t>File: 11_Users and Groups.pdf</w:t>
      </w:r>
    </w:p>
    <w:p/>
    <w:p>
      <w:pPr>
        <w:spacing w:before="240"/>
        <w:jc w:val="center"/>
      </w:pPr>
      <w:r>
        <w:rPr>
          <w:i/>
          <w:color w:val="999999"/>
          <w:sz w:val="16"/>
        </w:rPr>
        <w:t>--- End of Lesson 11: Users and groups | 22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