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04: PolicyCenter Introduction</w:t>
      </w:r>
    </w:p>
    <w:p>
      <w:pPr>
        <w:pStyle w:val="Heading2"/>
      </w:pPr>
      <w:r>
        <w:rPr>
          <w:color w:val="333333"/>
          <w:sz w:val="28"/>
        </w:rPr>
        <w:t>Lesson 12: Organizations and Producer Codes</w:t>
      </w:r>
    </w:p>
    <w:p>
      <w:pPr>
        <w:spacing w:after="40"/>
      </w:pPr>
      <w:r>
        <w:rPr>
          <w:i/>
          <w:color w:val="999999"/>
          <w:sz w:val="16"/>
        </w:rPr>
        <w:t>Source: In_policy_13_Organizations and Producer Codes.pptx</w:t>
      </w:r>
    </w:p>
    <w:p>
      <w:pPr>
        <w:pStyle w:val="Heading3"/>
      </w:pPr>
      <w:r>
        <w:t>Video References</w:t>
      </w:r>
    </w:p>
    <w:p>
      <w:pPr>
        <w:pStyle w:val="ListNumber"/>
      </w:pPr>
      <w:r>
        <w:rPr>
          <w:color w:val="0066CC"/>
          <w:sz w:val="20"/>
        </w:rPr>
        <w:t>[Video 1: In_Policy_07_01.mp4]</w:t>
      </w:r>
    </w:p>
    <w:p>
      <w:pPr>
        <w:pStyle w:val="ListNumber"/>
      </w:pPr>
      <w:r>
        <w:rPr>
          <w:color w:val="0066CC"/>
          <w:sz w:val="20"/>
        </w:rPr>
        <w:t>[Video 2: In_Policy_08_01.mp4]</w:t>
      </w:r>
    </w:p>
    <w:p>
      <w:pPr>
        <w:pStyle w:val="ListNumber"/>
      </w:pPr>
      <w:r>
        <w:rPr>
          <w:color w:val="0066CC"/>
          <w:sz w:val="20"/>
        </w:rPr>
        <w:t>[Video 3: In_Policy_08_02.mp4]</w:t>
      </w:r>
    </w:p>
    <w:p>
      <w:pPr>
        <w:pStyle w:val="ListNumber"/>
      </w:pPr>
      <w:r>
        <w:rPr>
          <w:color w:val="0066CC"/>
          <w:sz w:val="20"/>
        </w:rPr>
        <w:t>[Video 4: In_Policy_09_01.mp4]</w:t>
      </w:r>
    </w:p>
    <w:p>
      <w:pPr>
        <w:pStyle w:val="ListNumber"/>
      </w:pPr>
      <w:r>
        <w:rPr>
          <w:color w:val="0066CC"/>
          <w:sz w:val="20"/>
        </w:rPr>
        <w:t>[Video 5: In_Policy_09_02.mp4]</w:t>
      </w:r>
    </w:p>
    <w:p>
      <w:pPr>
        <w:pStyle w:val="ListNumber"/>
      </w:pPr>
      <w:r>
        <w:rPr>
          <w:color w:val="0066CC"/>
          <w:sz w:val="20"/>
        </w:rPr>
        <w:t>[Video 6: In_Policy_09_03.mp4]</w:t>
      </w:r>
    </w:p>
    <w:p>
      <w:pPr>
        <w:pStyle w:val="ListNumber"/>
      </w:pPr>
      <w:r>
        <w:rPr>
          <w:color w:val="0066CC"/>
          <w:sz w:val="20"/>
        </w:rPr>
        <w:t>[Video 7: In_Policy_10_01.mp4]</w:t>
      </w:r>
    </w:p>
    <w:p>
      <w:pPr>
        <w:pStyle w:val="ListNumber"/>
      </w:pPr>
      <w:r>
        <w:rPr>
          <w:color w:val="0066CC"/>
          <w:sz w:val="20"/>
        </w:rPr>
        <w:t>[Video 8: In_Policy_10_02.mp4]</w:t>
      </w:r>
    </w:p>
    <w:p>
      <w:pPr>
        <w:pStyle w:val="ListNumber"/>
      </w:pPr>
      <w:r>
        <w:rPr>
          <w:color w:val="0066CC"/>
          <w:sz w:val="20"/>
        </w:rPr>
        <w:t>[Video 9: In_Policy_11_01.mp4]</w:t>
      </w:r>
    </w:p>
    <w:p>
      <w:pPr>
        <w:pStyle w:val="ListNumber"/>
      </w:pPr>
      <w:r>
        <w:rPr>
          <w:color w:val="0066CC"/>
          <w:sz w:val="20"/>
        </w:rPr>
        <w:t>[Video 10: In_Policy_12_01.mp4]</w:t>
      </w:r>
    </w:p>
    <w:p>
      <w:pPr>
        <w:pStyle w:val="ListNumber"/>
      </w:pPr>
      <w:r>
        <w:rPr>
          <w:color w:val="0066CC"/>
          <w:sz w:val="20"/>
        </w:rPr>
        <w:t>[Video 11: In_Policy_13_01.mp4]</w:t>
      </w:r>
    </w:p>
    <w:p>
      <w:pPr>
        <w:pStyle w:val="ListNumber"/>
      </w:pPr>
      <w:r>
        <w:rPr>
          <w:color w:val="0066CC"/>
          <w:sz w:val="20"/>
        </w:rPr>
        <w:t>[Video 12: In_Policy_13_02.mp4]</w:t>
      </w:r>
    </w:p>
    <w:p>
      <w:pPr>
        <w:pStyle w:val="ListNumber"/>
      </w:pPr>
      <w:r>
        <w:rPr>
          <w:color w:val="0066CC"/>
          <w:sz w:val="20"/>
        </w:rPr>
        <w:t>[Video 13: In_Policy_13_03.mp4]</w:t>
      </w:r>
    </w:p>
    <w:p>
      <w:pPr>
        <w:pStyle w:val="ListNumber"/>
      </w:pPr>
      <w:r>
        <w:rPr>
          <w:color w:val="0066CC"/>
          <w:sz w:val="20"/>
        </w:rPr>
        <w:t>[Video 14: In_Policy_14_01.mp4]</w:t>
      </w:r>
    </w:p>
    <w:p>
      <w:pPr>
        <w:pStyle w:val="ListNumber"/>
      </w:pPr>
      <w:r>
        <w:rPr>
          <w:color w:val="0066CC"/>
          <w:sz w:val="20"/>
        </w:rPr>
        <w:t>[Video 15: In_Policy_15_01.mp4]</w:t>
      </w:r>
    </w:p>
    <w:p>
      <w:pPr>
        <w:pStyle w:val="ListNumber"/>
      </w:pPr>
      <w:r>
        <w:rPr>
          <w:color w:val="0066CC"/>
          <w:sz w:val="20"/>
        </w:rPr>
        <w:t>[Video 16: In_Policy_16_01.mp4]</w:t>
      </w:r>
    </w:p>
    <w:p>
      <w:pPr>
        <w:pStyle w:val="ListNumber"/>
      </w:pPr>
      <w:r>
        <w:rPr>
          <w:color w:val="0066CC"/>
          <w:sz w:val="20"/>
        </w:rPr>
        <w:t>[Video 17: In_Policy_16_02.mp4]</w:t>
      </w:r>
    </w:p>
    <w:p>
      <w:pPr>
        <w:pStyle w:val="ListNumber"/>
      </w:pPr>
      <w:r>
        <w:rPr>
          <w:color w:val="0066CC"/>
          <w:sz w:val="20"/>
        </w:rPr>
        <w:t>[Video 18: In_Policy_16_03.mp4]</w:t>
      </w:r>
    </w:p>
    <w:p>
      <w:pPr>
        <w:pStyle w:val="ListNumber"/>
      </w:pPr>
      <w:r>
        <w:rPr>
          <w:color w:val="0066CC"/>
          <w:sz w:val="20"/>
        </w:rPr>
        <w:t>[Video 19: In_Policy_17_01.mp4]</w:t>
      </w:r>
    </w:p>
    <w:p>
      <w:pPr>
        <w:pStyle w:val="ListNumber"/>
      </w:pPr>
      <w:r>
        <w:rPr>
          <w:color w:val="0066CC"/>
          <w:sz w:val="20"/>
        </w:rPr>
        <w:t>[Video 20: In_Policy_17_02.mp4]</w:t>
      </w:r>
    </w:p>
    <w:p>
      <w:pPr>
        <w:pStyle w:val="ListNumber"/>
      </w:pPr>
      <w:r>
        <w:rPr>
          <w:color w:val="0066CC"/>
          <w:sz w:val="20"/>
        </w:rPr>
        <w:t>[Video 21: In_Policy_18_01.mp4]</w:t>
      </w:r>
    </w:p>
    <w:p>
      <w:pPr>
        <w:pStyle w:val="ListNumber"/>
      </w:pPr>
      <w:r>
        <w:rPr>
          <w:color w:val="0066CC"/>
          <w:sz w:val="20"/>
        </w:rPr>
        <w:t>[Video 22: In_Policy_19_01.mp4]</w:t>
      </w:r>
    </w:p>
    <w:p>
      <w:pPr>
        <w:pStyle w:val="ListNumber"/>
      </w:pPr>
      <w:r>
        <w:rPr>
          <w:color w:val="0066CC"/>
          <w:sz w:val="20"/>
        </w:rPr>
        <w:t>[Video 23: In_Policy_19_02 .mp4]</w:t>
      </w:r>
    </w:p>
    <w:p>
      <w:pPr>
        <w:pStyle w:val="ListNumber"/>
      </w:pPr>
      <w:r>
        <w:rPr>
          <w:color w:val="0066CC"/>
          <w:sz w:val="20"/>
        </w:rPr>
        <w:t>[Video 24: In_Policy_20_01.mp4]</w:t>
      </w:r>
    </w:p>
    <w:p>
      <w:pPr>
        <w:pStyle w:val="ListNumber"/>
      </w:pPr>
      <w:r>
        <w:rPr>
          <w:color w:val="0066CC"/>
          <w:sz w:val="20"/>
        </w:rPr>
        <w:t>[Video 25: In_Policy_21_01.mp4]</w:t>
      </w:r>
    </w:p>
    <w:p>
      <w:pPr>
        <w:pStyle w:val="ListNumber"/>
      </w:pPr>
      <w:r>
        <w:rPr>
          <w:color w:val="0066CC"/>
          <w:sz w:val="20"/>
        </w:rPr>
        <w:t>[Video 26: In_Policy_21_02.mp4]</w:t>
      </w:r>
    </w:p>
    <w:p>
      <w:pPr>
        <w:pStyle w:val="ListNumber"/>
      </w:pPr>
      <w:r>
        <w:rPr>
          <w:color w:val="0066CC"/>
          <w:sz w:val="20"/>
        </w:rPr>
        <w:t>[Video 27: In_Policy_21_03.mp4]</w:t>
      </w:r>
    </w:p>
    <w:p>
      <w:pPr>
        <w:pStyle w:val="ListNumber"/>
      </w:pPr>
      <w:r>
        <w:rPr>
          <w:color w:val="0066CC"/>
          <w:sz w:val="20"/>
        </w:rPr>
        <w:t>[Video 28: In_Policy_22_01.mp4]</w:t>
      </w:r>
    </w:p>
    <w:p>
      <w:pPr>
        <w:pStyle w:val="ListNumber"/>
      </w:pPr>
      <w:r>
        <w:rPr>
          <w:color w:val="0066CC"/>
          <w:sz w:val="20"/>
        </w:rPr>
        <w:t>[Video 29: In_Policy_23_01.mp4]</w:t>
      </w:r>
    </w:p>
    <w:p>
      <w:pPr>
        <w:pStyle w:val="ListNumber"/>
      </w:pPr>
      <w:r>
        <w:rPr>
          <w:color w:val="0066CC"/>
          <w:sz w:val="20"/>
        </w:rPr>
        <w:t>[Video 30: In_Policy_24_01.mp4]</w:t>
      </w:r>
    </w:p>
    <w:p>
      <w:pPr>
        <w:pStyle w:val="ListNumber"/>
      </w:pPr>
      <w:r>
        <w:rPr>
          <w:color w:val="0066CC"/>
          <w:sz w:val="20"/>
        </w:rPr>
        <w:t>[Video 31: In_Policy_24_02.mp4]</w:t>
      </w:r>
    </w:p>
    <w:p>
      <w:pPr>
        <w:pStyle w:val="ListNumber"/>
      </w:pPr>
      <w:r>
        <w:rPr>
          <w:color w:val="0066CC"/>
          <w:sz w:val="20"/>
        </w:rPr>
        <w:t>[Video 32: In_Policy_25_01.mp4]</w:t>
      </w:r>
    </w:p>
    <w:p>
      <w:pPr>
        <w:pStyle w:val="ListNumber"/>
      </w:pPr>
      <w:r>
        <w:rPr>
          <w:color w:val="0066CC"/>
          <w:sz w:val="20"/>
        </w:rPr>
        <w:t>[Video 33: In_Policy_26_01.mp4]</w:t>
      </w:r>
    </w:p>
    <w:p>
      <w:pPr>
        <w:pStyle w:val="ListNumber"/>
      </w:pPr>
      <w:r>
        <w:rPr>
          <w:color w:val="0066CC"/>
          <w:sz w:val="20"/>
        </w:rPr>
        <w:t>[Video 34: In_Policy_27_01.mp4]</w:t>
      </w:r>
    </w:p>
    <w:p>
      <w:pPr>
        <w:pStyle w:val="ListNumber"/>
      </w:pPr>
      <w:r>
        <w:rPr>
          <w:color w:val="0066CC"/>
          <w:sz w:val="20"/>
        </w:rPr>
        <w:t>[Video 35: In_Policy_28_01.mp4]</w:t>
      </w:r>
    </w:p>
    <w:p>
      <w:pPr>
        <w:pStyle w:val="ListNumber"/>
      </w:pPr>
      <w:r>
        <w:rPr>
          <w:color w:val="0066CC"/>
          <w:sz w:val="20"/>
        </w:rPr>
        <w:t>[Video 36: In_Policy_28_02.mp4]</w:t>
      </w:r>
    </w:p>
    <w:p>
      <w:pPr>
        <w:pStyle w:val="ListNumber"/>
      </w:pPr>
      <w:r>
        <w:rPr>
          <w:color w:val="0066CC"/>
          <w:sz w:val="20"/>
        </w:rPr>
        <w:t>[Video 37: In_Policy_29_01.mp4]</w:t>
      </w:r>
    </w:p>
    <w:p>
      <w:pPr>
        <w:pStyle w:val="ListNumber"/>
      </w:pPr>
      <w:r>
        <w:rPr>
          <w:color w:val="0066CC"/>
          <w:sz w:val="20"/>
        </w:rPr>
        <w:t>[Video 38: In_Policy_30_01.mp4]</w:t>
      </w:r>
    </w:p>
    <w:p>
      <w:pPr>
        <w:pStyle w:val="ListNumber"/>
      </w:pPr>
      <w:r>
        <w:rPr>
          <w:color w:val="0066CC"/>
          <w:sz w:val="20"/>
        </w:rPr>
        <w:t>[Video 39: In_policy_01_01.mp4]</w:t>
      </w:r>
    </w:p>
    <w:p>
      <w:pPr>
        <w:pStyle w:val="ListNumber"/>
      </w:pPr>
      <w:r>
        <w:rPr>
          <w:color w:val="0066CC"/>
          <w:sz w:val="20"/>
        </w:rPr>
        <w:t>[Video 40: In_policy_01_02.mp4]</w:t>
      </w:r>
    </w:p>
    <w:p>
      <w:pPr>
        <w:pStyle w:val="ListNumber"/>
      </w:pPr>
      <w:r>
        <w:rPr>
          <w:color w:val="0066CC"/>
          <w:sz w:val="20"/>
        </w:rPr>
        <w:t>[Video 41: In_policy_03_01.mp4]</w:t>
      </w:r>
    </w:p>
    <w:p>
      <w:pPr>
        <w:pStyle w:val="ListNumber"/>
      </w:pPr>
      <w:r>
        <w:rPr>
          <w:color w:val="0066CC"/>
          <w:sz w:val="20"/>
        </w:rPr>
        <w:t>[Video 42: In_policy_03_02.mp4]</w:t>
      </w:r>
    </w:p>
    <w:p>
      <w:pPr>
        <w:pStyle w:val="ListNumber"/>
      </w:pPr>
      <w:r>
        <w:rPr>
          <w:color w:val="0066CC"/>
          <w:sz w:val="20"/>
        </w:rPr>
        <w:t>[Video 43: In_policy_06_01.mp4]</w:t>
      </w:r>
    </w:p>
    <w:p>
      <w:pPr>
        <w:pStyle w:val="ListNumber"/>
      </w:pPr>
      <w:r>
        <w:rPr>
          <w:color w:val="0066CC"/>
          <w:sz w:val="20"/>
        </w:rPr>
        <w:t>[Video 44: In_policy_06_02.mp4]</w:t>
      </w:r>
    </w:p>
    <w:p>
      <w:pPr>
        <w:pStyle w:val="ListNumber"/>
      </w:pPr>
      <w:r>
        <w:rPr>
          <w:color w:val="0066CC"/>
          <w:sz w:val="20"/>
        </w:rPr>
        <w:t>[Video 45: In_policy_06_03.mp4]</w:t>
      </w:r>
    </w:p>
    <w:p>
      <w:pPr>
        <w:pStyle w:val="ListNumber"/>
      </w:pPr>
      <w:r>
        <w:rPr>
          <w:color w:val="0066CC"/>
          <w:sz w:val="20"/>
        </w:rPr>
        <w:t>[Video 46: In_policy_06_04.mp4]</w:t>
      </w:r>
    </w:p>
    <w:p>
      <w:pPr>
        <w:pStyle w:val="ListNumber"/>
      </w:pPr>
      <w:r>
        <w:rPr>
          <w:color w:val="0066CC"/>
          <w:sz w:val="20"/>
        </w:rPr>
        <w:t>[Video 47: In_policy_06_05.mp4]</w:t>
      </w:r>
    </w:p>
    <w:p/>
    <w:p>
      <w:pPr>
        <w:pStyle w:val="Heading2"/>
      </w:pPr>
      <w:r>
        <w:t>Slide Content</w:t>
      </w:r>
    </w:p>
    <w:p>
      <w:pPr>
        <w:pStyle w:val="Heading3"/>
      </w:pPr>
      <w:r>
        <w:rPr>
          <w:sz w:val="24"/>
        </w:rPr>
        <w:t>Slide 1/35: (Untitled)</w:t>
      </w:r>
    </w:p>
    <w:p>
      <w:r>
        <w:rPr>
          <w:i/>
          <w:color w:val="888888"/>
        </w:rPr>
        <w:t>[Image placeholder]</w:t>
      </w:r>
    </w:p>
    <w:p>
      <w:pPr>
        <w:pStyle w:val="Heading3"/>
      </w:pPr>
      <w:r>
        <w:rPr>
          <w:sz w:val="24"/>
        </w:rPr>
        <w:t>Slide 2/35: (Untitled)</w:t>
      </w:r>
    </w:p>
    <w:p>
      <w:r>
        <w:rPr>
          <w:i/>
          <w:color w:val="888888"/>
        </w:rPr>
        <w:t>[Image placeholder]</w:t>
      </w:r>
    </w:p>
    <w:p>
      <w:pPr>
        <w:pStyle w:val="Heading3"/>
      </w:pPr>
      <w:r>
        <w:rPr>
          <w:sz w:val="24"/>
        </w:rPr>
        <w:t>Slide 3/35: (Untitled)</w:t>
      </w:r>
    </w:p>
    <w:p>
      <w:r>
        <w:rPr>
          <w:i/>
          <w:color w:val="888888"/>
        </w:rPr>
        <w:t>[Image placeholder]</w:t>
      </w:r>
    </w:p>
    <w:p>
      <w:pPr>
        <w:pStyle w:val="Heading3"/>
      </w:pPr>
      <w:r>
        <w:rPr>
          <w:sz w:val="24"/>
        </w:rPr>
        <w:t>Slide 4/35: (Untitled)</w:t>
      </w:r>
    </w:p>
    <w:p>
      <w:r>
        <w:rPr>
          <w:i/>
          <w:color w:val="888888"/>
        </w:rPr>
        <w:t>[Image placeholder]</w:t>
      </w:r>
    </w:p>
    <w:p>
      <w:pPr>
        <w:spacing w:before="80" w:after="80"/>
        <w:shd w:fill="E8E8E8" w:val="clear"/>
      </w:pPr>
      <w:r>
        <w:rPr>
          <w:i/>
          <w:color w:val="444444"/>
          <w:sz w:val="18"/>
        </w:rPr>
        <w:t>Speaker Notes: Organization / Community model</w:t>
        <w:br/>
        <w:t>PolicyCenter must maintain information about how you organize people and their work. In many cases, you can edit this information within the PolicyCenter administration screens. Users, groups, and producer codes all belong to an organization, which can be the organization of the insurer or an external organization, such as an agency. Organization has groups within it. Users can be assignedto any number of these groups. Producer codes can be assigned to groups or directly to users in an organization.</w:t>
        <w:br/>
        <w:br/>
        <w:t>Users have a list of producer codes allowed for them, eitherexplicitly or through one of the groups that the user is assigned Internal as well as external users,  groups, organizations, and permissions can have be assigned producer codes. External users may only have producer codes from their organization assigned to them, but internal users may have any external producer codes explicitly assigned to them.</w:t>
      </w:r>
    </w:p>
    <w:p>
      <w:pPr>
        <w:pStyle w:val="Heading3"/>
      </w:pPr>
      <w:r>
        <w:rPr>
          <w:sz w:val="24"/>
        </w:rPr>
        <w:t>Slide 5/35: (Untitled)</w:t>
      </w:r>
    </w:p>
    <w:p>
      <w:r>
        <w:rPr>
          <w:i/>
          <w:color w:val="888888"/>
        </w:rPr>
        <w:t>[Image placeholder]</w:t>
      </w:r>
    </w:p>
    <w:p>
      <w:pPr>
        <w:spacing w:before="80" w:after="80"/>
        <w:shd w:fill="E8E8E8" w:val="clear"/>
      </w:pPr>
      <w:r>
        <w:rPr>
          <w:i/>
          <w:color w:val="444444"/>
          <w:sz w:val="18"/>
        </w:rPr>
        <w:t>Speaker Notes: Producer</w:t>
        <w:br/>
        <w:t>A producer is a person or organization that has one or more agreements to sell business on behalf of the insurer. A producermay be responsible for many, one, or zero policies. In the insurance industry, producers are typically referred to as agents, brokers, or an internal sales force. The insurer may hold the account directly (insurer contacts the account directly), in which case there is no producer. In some cases, a producer agency has only one associated code. In other cases, an insurer may want to separately track two or more different policy categories assigned to a single producer. In this case, the producer agency</w:t>
        <w:br/>
        <w:t>will have multiple codes, and the user must select the appropriate code.</w:t>
      </w:r>
    </w:p>
    <w:p>
      <w:pPr>
        <w:pStyle w:val="Heading3"/>
      </w:pPr>
      <w:r>
        <w:rPr>
          <w:sz w:val="24"/>
        </w:rPr>
        <w:t>Slide 6/35: (Untitled)</w:t>
      </w:r>
    </w:p>
    <w:p>
      <w:r>
        <w:rPr>
          <w:i/>
          <w:color w:val="888888"/>
        </w:rPr>
        <w:t>[Image placeholder]</w:t>
      </w:r>
    </w:p>
    <w:p>
      <w:pPr>
        <w:pStyle w:val="Heading3"/>
      </w:pPr>
      <w:r>
        <w:rPr>
          <w:sz w:val="24"/>
        </w:rPr>
        <w:t>Slide 7/35: (Untitled)</w:t>
      </w:r>
    </w:p>
    <w:p>
      <w:r>
        <w:rPr>
          <w:i/>
          <w:color w:val="888888"/>
        </w:rPr>
        <w:t>[Image placeholder]</w:t>
      </w:r>
    </w:p>
    <w:p>
      <w:pPr>
        <w:spacing w:before="80" w:after="80"/>
        <w:shd w:fill="E8E8E8" w:val="clear"/>
      </w:pPr>
      <w:r>
        <w:rPr>
          <w:i/>
          <w:color w:val="444444"/>
          <w:sz w:val="18"/>
        </w:rPr>
        <w:t>Speaker Notes: Producer types</w:t>
        <w:br/>
        <w:t>A producer of record created the policy, may or may not service the account and have limited permissions on the policy and account. For a new policy, the producer of record is the same as producer of service, as shown in the example. If a user decides they want a new agent, then the producer of service  changes. The producer providing this new service is the producer of service. The old agent continues to receive a commission for the policy because he was the one that initially brought in the business. This can be viewed on the Policy Info page by typing the effective date of any policy. A producer of service has permission to edit policies for renewal, then becoming the producer of record and receiving a commission.</w:t>
      </w:r>
    </w:p>
    <w:p>
      <w:pPr>
        <w:pStyle w:val="Heading3"/>
      </w:pPr>
      <w:r>
        <w:rPr>
          <w:sz w:val="24"/>
        </w:rPr>
        <w:t>Slide 8/35: (Untitled)</w:t>
      </w:r>
    </w:p>
    <w:p>
      <w:r>
        <w:rPr>
          <w:i/>
          <w:color w:val="888888"/>
        </w:rPr>
        <w:t>[Image placeholder]</w:t>
      </w:r>
    </w:p>
    <w:p>
      <w:pPr>
        <w:spacing w:before="80" w:after="80"/>
        <w:shd w:fill="E8E8E8" w:val="clear"/>
      </w:pPr>
      <w:r>
        <w:rPr>
          <w:i/>
          <w:color w:val="444444"/>
          <w:sz w:val="18"/>
        </w:rPr>
        <w:t>Speaker Notes: Producer code</w:t>
        <w:br/>
        <w:t>Producer codes are used to accurately track which agent or agency is responsible for which policies and accounts. In some cases, a producer agency has only one associated code. In other cases, an insurer may want to separately track two or more different policy categories to a single producer. In this case, the producer agency will have multiple codes, and the user must select the appropriate code. Insurers may think that producer codes follow their organization or group hierarchy, assigning product codes to groups eases administrative duties.</w:t>
      </w:r>
    </w:p>
    <w:p>
      <w:pPr>
        <w:pStyle w:val="Heading3"/>
      </w:pPr>
      <w:r>
        <w:rPr>
          <w:sz w:val="24"/>
        </w:rPr>
        <w:t>Slide 9/35: (Untitled)</w:t>
      </w:r>
    </w:p>
    <w:p>
      <w:r>
        <w:rPr>
          <w:i/>
          <w:color w:val="888888"/>
        </w:rPr>
        <w:t>[Image placeholder]</w:t>
      </w:r>
    </w:p>
    <w:p>
      <w:pPr>
        <w:pStyle w:val="Heading3"/>
      </w:pPr>
      <w:r>
        <w:rPr>
          <w:sz w:val="24"/>
        </w:rPr>
        <w:t>Slide 10/35: (Untitled)</w:t>
      </w:r>
    </w:p>
    <w:p>
      <w:r>
        <w:rPr>
          <w:i/>
          <w:color w:val="888888"/>
        </w:rPr>
        <w:t>[Image placeholder]</w:t>
      </w:r>
    </w:p>
    <w:p>
      <w:pPr>
        <w:spacing w:before="80" w:after="80"/>
        <w:shd w:fill="E8E8E8" w:val="clear"/>
      </w:pPr>
      <w:r>
        <w:rPr>
          <w:i/>
          <w:color w:val="444444"/>
          <w:sz w:val="18"/>
        </w:rPr>
        <w:t>Speaker Notes: Managing organizations</w:t>
        <w:br/>
        <w:t xml:space="preserve">An organization can be the insurer or an external organization, such as an agency.  The organizational tree structure and the groups within it, are displayed in the left sidebar. </w:t>
        <w:br/>
        <w:t>The Basics card displays the organizational information, such as the name, type, address, supervisor, etc. The load factor used by the assignment rules to assign an activity to a user or group within this organization is displayed here.</w:t>
        <w:br/>
        <w:t>The Users card lists users under that organizatiom</w:t>
        <w:br/>
        <w:t>The Producer Codes card displays the producer codes and a list view of each code’s description, status, branch and the preferred underwriter.</w:t>
      </w:r>
    </w:p>
    <w:p>
      <w:pPr>
        <w:pStyle w:val="Heading3"/>
      </w:pPr>
      <w:r>
        <w:rPr>
          <w:sz w:val="24"/>
        </w:rPr>
        <w:t>Slide 11/35: (Untitled)</w:t>
      </w:r>
    </w:p>
    <w:p>
      <w:r>
        <w:rPr>
          <w:i/>
          <w:color w:val="888888"/>
        </w:rPr>
        <w:t>[Image placeholder]</w:t>
      </w:r>
    </w:p>
    <w:p>
      <w:pPr>
        <w:spacing w:before="80" w:after="80"/>
        <w:shd w:fill="E8E8E8" w:val="clear"/>
      </w:pPr>
      <w:r>
        <w:rPr>
          <w:i/>
          <w:color w:val="444444"/>
          <w:sz w:val="18"/>
        </w:rPr>
        <w:t>Speaker Notes: Managing producer code</w:t>
        <w:br/>
        <w:t>Superuser or useradmin privileges are required to manage producer codes,  users, groups and organizations-</w:t>
        <w:br/>
        <w:t>Search:</w:t>
        <w:br/>
        <w:t>To search for a user, group or an organization click on a similar link. After searching, the results are displayed as links so the user can select and view</w:t>
        <w:br/>
        <w:t>the entity details-</w:t>
        <w:br/>
        <w:br/>
        <w:t>View or edit producer code.</w:t>
        <w:br/>
        <w:t>The Basics tab lists the code, description, organization, status and other information related to the producer code-</w:t>
        <w:br/>
        <w:t>The Groups tab lists the groups that have this producer's code security. It defines what group users can access and what actions they can perform.</w:t>
        <w:br/>
        <w:t>The Users tab lists the users that have access to this producer's code. These users belong to one of the groups listed under the Groups tab.</w:t>
        <w:br/>
        <w:t>Insurers may think that producer codes follow their organization or group hierarchy. Assigning product codes to groups eases administration</w:t>
        <w:br/>
        <w:t>duties.</w:t>
        <w:br/>
        <w:t>The Roles tab lists the roles assigned to the producer code.</w:t>
        <w:br/>
        <w:t xml:space="preserve">The producer code can be added to users and groups using the Edits Users or Edit Groups administration screens, respectively. The producer codes details get updated.  </w:t>
        <w:br/>
        <w:t>Create new producer codes:</w:t>
        <w:br/>
        <w:t>Enter basic details of the producer code such as code, description, organization and parent code, etc. The Search icon (when available)  provides a selectable list- For example, the Organization icon next to the Organization takes the user to the Organization Search page.</w:t>
      </w:r>
    </w:p>
    <w:p>
      <w:pPr>
        <w:pStyle w:val="Heading3"/>
      </w:pPr>
      <w:r>
        <w:rPr>
          <w:sz w:val="24"/>
        </w:rPr>
        <w:t>Slide 12/35: (Untitled)</w:t>
      </w:r>
    </w:p>
    <w:p>
      <w:r>
        <w:rPr>
          <w:i/>
          <w:color w:val="888888"/>
        </w:rPr>
        <w:t>[Image placeholder]</w:t>
      </w:r>
    </w:p>
    <w:p>
      <w:pPr>
        <w:spacing w:before="80" w:after="80"/>
        <w:shd w:fill="E8E8E8" w:val="clear"/>
      </w:pPr>
      <w:r>
        <w:rPr>
          <w:i/>
          <w:color w:val="444444"/>
          <w:sz w:val="18"/>
        </w:rPr>
        <w:t>Speaker Notes: Review: Producer codes in a group</w:t>
        <w:br/>
        <w:t>This slide shows the producer codes in the group Eastern Mid- West Region. The producer codes tab shows all producer codes available to the parent group, which can be made available to the current group which all users may access. This is not implicit. A user must be granted access to producer codes and groups through the user's Access tab.</w:t>
      </w:r>
    </w:p>
    <w:p>
      <w:pPr>
        <w:pStyle w:val="Heading3"/>
      </w:pPr>
      <w:r>
        <w:rPr>
          <w:sz w:val="24"/>
        </w:rPr>
        <w:t>Slide 13/35: (Untitled)</w:t>
      </w:r>
    </w:p>
    <w:p>
      <w:r>
        <w:rPr>
          <w:i/>
          <w:color w:val="888888"/>
        </w:rPr>
        <w:t>[Image placeholder]</w:t>
      </w:r>
    </w:p>
    <w:p>
      <w:pPr>
        <w:spacing w:before="80" w:after="80"/>
        <w:shd w:fill="E8E8E8" w:val="clear"/>
      </w:pPr>
      <w:r>
        <w:rPr>
          <w:i/>
          <w:color w:val="444444"/>
          <w:sz w:val="18"/>
        </w:rPr>
        <w:t>Speaker Notes: Delegate management using User Admin role</w:t>
        <w:br/>
        <w:t>Since managing both the internal and external company can become quite complex, management of external producer companies can be delegated to a designated external User Admin. This can be done by assigning the User Admin role to a user within that external organization. That user will have permission to administer Users, Groups, Organizations, and Permissions within the user’s organization, but will not have access to other organizations. Delegating allows a User Admin to build the User, Group, Organization, and Permission sets that represent an external company. Even though you can delegate administration of these external companies, you still have access and complete administrative rights from the Administration tab. The difference between a Supervisor and a User Admin is that a Supervisor has access to the Team screen related to a group whereas the User Admin has the ability to manage Users, Groups, Organizations and Permissions. There is no limit on the number of User Admins in an organization. Roles are discussed later in this lesson.</w:t>
      </w:r>
    </w:p>
    <w:p>
      <w:pPr>
        <w:pStyle w:val="Heading3"/>
      </w:pPr>
      <w:r>
        <w:rPr>
          <w:sz w:val="24"/>
        </w:rPr>
        <w:t>Slide 14/35: (Untitled)</w:t>
      </w:r>
    </w:p>
    <w:p>
      <w:r>
        <w:rPr>
          <w:i/>
          <w:color w:val="888888"/>
        </w:rPr>
        <w:t>[Image placeholder]</w:t>
      </w:r>
    </w:p>
    <w:p>
      <w:pPr>
        <w:pStyle w:val="Heading3"/>
      </w:pPr>
      <w:r>
        <w:rPr>
          <w:sz w:val="24"/>
        </w:rPr>
        <w:t>Slide 15/35: (Untitled)</w:t>
      </w:r>
    </w:p>
    <w:p>
      <w:pPr>
        <w:pStyle w:val="Heading3"/>
      </w:pPr>
      <w:r>
        <w:rPr>
          <w:sz w:val="24"/>
        </w:rPr>
        <w:t>Slide 16/35: (Untitled)</w:t>
      </w:r>
    </w:p>
    <w:p>
      <w:r>
        <w:rPr>
          <w:i/>
          <w:color w:val="888888"/>
        </w:rPr>
        <w:t>[Image placeholder]</w:t>
      </w:r>
    </w:p>
    <w:p>
      <w:pPr>
        <w:pStyle w:val="Heading3"/>
      </w:pPr>
      <w:r>
        <w:rPr>
          <w:sz w:val="24"/>
        </w:rPr>
        <w:t>Slide 17/35: (Untitled)</w:t>
      </w:r>
    </w:p>
    <w:p>
      <w:r>
        <w:rPr>
          <w:i/>
          <w:color w:val="888888"/>
        </w:rPr>
        <w:t>[Image placeholder]</w:t>
      </w:r>
    </w:p>
    <w:p>
      <w:pPr>
        <w:spacing w:before="80" w:after="80"/>
        <w:shd w:fill="E8E8E8" w:val="clear"/>
      </w:pPr>
      <w:r>
        <w:rPr>
          <w:i/>
          <w:color w:val="444444"/>
          <w:sz w:val="18"/>
        </w:rPr>
        <w:t>Speaker Notes: Security in Policy Center</w:t>
        <w:br/>
        <w:t>Refer to the Roles and Permisslons lesson for more details on Role-Based security.Security in PolicyCenter makes the application flexible, robust, and protects your information. PolicyCenter's default application contains a set of roles that performs policy tasks in most organizations. In order to perform these tasks, a user must be assigned a role with the appropriate permissions. Typically, the Superuser role is granted all permissions in the base configuration and is responsible for granting permissions to other roles. Once the roles are configured, each PolicyCenter user is assigned a specific role that relates to the tasks to be performed. Note: Although Superuser has all permissions in the base configuration, the permissions may change if a customer adds custom permissions. Additionally, Superuser is configured in the base product in the role that would grant permissions to other roles, but a customer can configure any role with the same permissions.</w:t>
      </w:r>
    </w:p>
    <w:p>
      <w:pPr>
        <w:pStyle w:val="Heading3"/>
      </w:pPr>
      <w:r>
        <w:rPr>
          <w:sz w:val="24"/>
        </w:rPr>
        <w:t>Slide 18/35: (Untitled)</w:t>
      </w:r>
    </w:p>
    <w:p>
      <w:r>
        <w:rPr>
          <w:i/>
          <w:color w:val="888888"/>
        </w:rPr>
        <w:t>[Image placeholder]</w:t>
      </w:r>
    </w:p>
    <w:p>
      <w:pPr>
        <w:spacing w:before="80" w:after="80"/>
        <w:shd w:fill="E8E8E8" w:val="clear"/>
      </w:pPr>
      <w:r>
        <w:rPr>
          <w:i/>
          <w:color w:val="444444"/>
          <w:sz w:val="18"/>
        </w:rPr>
        <w:t>Speaker Notes: Producer code security</w:t>
        <w:br/>
        <w:t xml:space="preserve">Access restrictions can be placed through producer code security beyond the permissions associated with the matching producer code, and be applied to an account, policy, or job. For a producer, the producer code security would typically be enabled, but for underwriters or auditors it may disabled, thereby allowing them to work on any policy. You can think of producer codes as an agreement between the producer and the insurer which determines the capabilities of the producer. Attaching permissions to producer codes and attaching the producer codes to users, allows an insurer to: </w:t>
        <w:br/>
        <w:t xml:space="preserve">Further customize what a producer can do </w:t>
        <w:br/>
        <w:t>Track the performance of a producer</w:t>
        <w:br/>
        <w:t>Tie the producer to a specific organization or region</w:t>
        <w:br/>
        <w:t>Users inherit producer codes through their group, producer codes are not explicitly assigned.</w:t>
      </w:r>
    </w:p>
    <w:p>
      <w:pPr>
        <w:pStyle w:val="Heading3"/>
      </w:pPr>
      <w:r>
        <w:rPr>
          <w:sz w:val="24"/>
        </w:rPr>
        <w:t>Slide 19/35: (Untitled)</w:t>
      </w:r>
    </w:p>
    <w:p>
      <w:r>
        <w:rPr>
          <w:i/>
          <w:color w:val="888888"/>
        </w:rPr>
        <w:t>[Image placeholder]</w:t>
      </w:r>
    </w:p>
    <w:p>
      <w:pPr>
        <w:spacing w:before="80" w:after="80"/>
        <w:shd w:fill="E8E8E8" w:val="clear"/>
      </w:pPr>
      <w:r>
        <w:rPr>
          <w:i/>
          <w:color w:val="444444"/>
          <w:sz w:val="18"/>
        </w:rPr>
        <w:t>Speaker Notes: Status field</w:t>
        <w:br/>
        <w:t>The status of the matching producer code and the user’s organization must be verified before allowing access through producer code security. Both statuses must be Active or on the list of allowed statuses in the permission handler. Without security handler configuration, full permissions are granted when the status is Active. Permissions are not permitted when the status is anything other than Active, except in the case of Renewals, which is allowed a Limited status. Producer codes are used for account security checks in the absence of any policies or submissions. To configure which permissions are granted when the status of the producer code or agency is other than Active, refer to the Producer Code Permissions lesson or the Policy Center Configuration Guide.</w:t>
      </w:r>
    </w:p>
    <w:p>
      <w:pPr>
        <w:pStyle w:val="Heading3"/>
      </w:pPr>
      <w:r>
        <w:rPr>
          <w:sz w:val="24"/>
        </w:rPr>
        <w:t>Slide 20/35: (Untitled)</w:t>
      </w:r>
    </w:p>
    <w:p>
      <w:r>
        <w:rPr>
          <w:i/>
          <w:color w:val="888888"/>
        </w:rPr>
        <w:t>[Image placeholder]</w:t>
      </w:r>
    </w:p>
    <w:p>
      <w:pPr>
        <w:pStyle w:val="Heading3"/>
      </w:pPr>
      <w:r>
        <w:rPr>
          <w:sz w:val="24"/>
        </w:rPr>
        <w:t>Slide 21/35: (Untitled)</w:t>
      </w:r>
    </w:p>
    <w:p>
      <w:pPr>
        <w:pStyle w:val="Heading3"/>
      </w:pPr>
      <w:r>
        <w:rPr>
          <w:sz w:val="24"/>
        </w:rPr>
        <w:t>Slide 22/35: (Untitled)</w:t>
      </w:r>
    </w:p>
    <w:p>
      <w:r>
        <w:rPr>
          <w:i/>
          <w:color w:val="888888"/>
        </w:rPr>
        <w:t>[Image placeholder]</w:t>
      </w:r>
    </w:p>
    <w:p>
      <w:pPr>
        <w:pStyle w:val="Heading3"/>
      </w:pPr>
      <w:r>
        <w:rPr>
          <w:sz w:val="24"/>
        </w:rPr>
        <w:t>Slide 23/35: (Untitled)</w:t>
      </w:r>
    </w:p>
    <w:p>
      <w:r>
        <w:rPr>
          <w:i/>
          <w:color w:val="888888"/>
        </w:rPr>
        <w:t>[Image placeholder]</w:t>
      </w:r>
    </w:p>
    <w:p>
      <w:pPr>
        <w:spacing w:before="80" w:after="80"/>
        <w:shd w:fill="E8E8E8" w:val="clear"/>
      </w:pPr>
      <w:r>
        <w:rPr>
          <w:i/>
          <w:color w:val="444444"/>
          <w:sz w:val="18"/>
        </w:rPr>
        <w:t>Speaker Notes: User Access</w:t>
        <w:br/>
        <w:t>Groups.</w:t>
        <w:br/>
        <w:t>The Groups lists which groups the user belongs to, if the user is a member, whether the user is a Manager, load factor permissions and the load factor within that group. This is useful for activity assignments using assignment rules. Click on a linked group name and open the Groups screen to configure the Groups. Groups are discussed in detail later in this lesson.</w:t>
        <w:br/>
        <w:br/>
        <w:t>Producer Codes from Groups.</w:t>
        <w:br/>
        <w:t>The users automatically obtain all of the producer codes assigned to their groups. A user can create collections of permissions as roles and attach them to producer codes, which can then be assigned to users, policies, or accounts. Ijsers for whom Producer Code Security is set to Yes can only use their role permissions against policies that have a matching producer code- Only the producer code permissions that match can be used against a policy, even if the user has a larger set of permissions available through their user roles- Both producer code and user role permissions must match in order for the user to gain access.</w:t>
        <w:br/>
        <w:br/>
        <w:t>Additional Producer Codes:</w:t>
        <w:br/>
        <w:t>Users can add producer codes through this option. By default, external producer users can have producer codes from their own organization/groups added. Internal users who have their producer code security turned on can have producer codes from any organization added. However, you can configure the ExternallJserAccess parameter in config.xml to control the level of access for external users.</w:t>
      </w:r>
    </w:p>
    <w:p>
      <w:pPr>
        <w:pStyle w:val="Heading3"/>
      </w:pPr>
      <w:r>
        <w:rPr>
          <w:sz w:val="24"/>
        </w:rPr>
        <w:t>Slide 24/35: (Untitled)</w:t>
      </w:r>
    </w:p>
    <w:p>
      <w:r>
        <w:rPr>
          <w:i/>
          <w:color w:val="888888"/>
        </w:rPr>
        <w:t>[Image placeholder]</w:t>
      </w:r>
    </w:p>
    <w:p>
      <w:pPr>
        <w:pStyle w:val="Heading3"/>
      </w:pPr>
      <w:r>
        <w:rPr>
          <w:sz w:val="24"/>
        </w:rPr>
        <w:t>Slide 25/35: (Untitled)</w:t>
      </w:r>
    </w:p>
    <w:p>
      <w:r>
        <w:rPr>
          <w:i/>
          <w:color w:val="888888"/>
        </w:rPr>
        <w:t>[Image placeholder]</w:t>
      </w:r>
    </w:p>
    <w:p>
      <w:pPr>
        <w:spacing w:before="80" w:after="80"/>
        <w:shd w:fill="E8E8E8" w:val="clear"/>
      </w:pPr>
      <w:r>
        <w:rPr>
          <w:i/>
          <w:color w:val="444444"/>
          <w:sz w:val="18"/>
        </w:rPr>
        <w:t>Speaker Notes: External user access</w:t>
        <w:br/>
        <w:t>In config.xml, the ExternalUserAccess configu ration parameter is used to set access levels. Once set, the access level is applied to all external users in PolicyCenter.</w:t>
        <w:br/>
        <w:br/>
        <w:t>FULLYRESTRICTED -</w:t>
        <w:br/>
        <w:t>Default. With Fully Restricted, external users can be assigned to groups only within their organization. Users inherit producer codes from their groups. In addition, external users can be assigned producer codes from their organization.</w:t>
        <w:br/>
        <w:t>PROTECTINTERNAL – With Protect Intemal, external users can be assigned to any external group and inherit producer codes from their groups. In addition, external users can be assigned producer codes from any external organization.</w:t>
        <w:br/>
        <w:t>ALLOWINTERNAL – With Allow Internal, external users can be assigned to any group, internal or extemal. Users inherit producer codes from their groups. In addition, external users can be assigned producer codes frominternal or extemal organizations.</w:t>
        <w:br/>
        <w:br/>
        <w:t>This parameter can be changed as needed to increase access to groups and producer codes. However, be aware that limiting access requires that all users, groups, and producer codes are reviewed to ensure that they conform to a more restrictive parameter setting.</w:t>
      </w:r>
    </w:p>
    <w:p>
      <w:pPr>
        <w:pStyle w:val="Heading3"/>
      </w:pPr>
      <w:r>
        <w:rPr>
          <w:sz w:val="24"/>
        </w:rPr>
        <w:t>Slide 26/35: (Untitled)</w:t>
      </w:r>
    </w:p>
    <w:p>
      <w:r>
        <w:rPr>
          <w:i/>
          <w:color w:val="888888"/>
        </w:rPr>
        <w:t>[Image placeholder]</w:t>
      </w:r>
    </w:p>
    <w:p>
      <w:pPr>
        <w:pStyle w:val="Heading3"/>
      </w:pPr>
      <w:r>
        <w:rPr>
          <w:sz w:val="24"/>
        </w:rPr>
        <w:t>Slide 27/35: (Untitled)</w:t>
      </w:r>
    </w:p>
    <w:p>
      <w:pPr>
        <w:pStyle w:val="Heading3"/>
      </w:pPr>
      <w:r>
        <w:rPr>
          <w:sz w:val="24"/>
        </w:rPr>
        <w:t>Slide 28/35: (Untitled)</w:t>
      </w:r>
    </w:p>
    <w:p>
      <w:r>
        <w:rPr>
          <w:i/>
          <w:color w:val="888888"/>
        </w:rPr>
        <w:t>[Image placeholder]</w:t>
      </w:r>
    </w:p>
    <w:p>
      <w:pPr>
        <w:pStyle w:val="Heading3"/>
      </w:pPr>
      <w:r>
        <w:rPr>
          <w:sz w:val="24"/>
        </w:rPr>
        <w:t>Slide 29/35: (Untitled)</w:t>
      </w:r>
    </w:p>
    <w:p>
      <w:r>
        <w:rPr>
          <w:i/>
          <w:color w:val="888888"/>
        </w:rPr>
        <w:t>[Image placeholder]</w:t>
      </w:r>
    </w:p>
    <w:p>
      <w:pPr>
        <w:pStyle w:val="Heading3"/>
      </w:pPr>
      <w:r>
        <w:rPr>
          <w:sz w:val="24"/>
        </w:rPr>
        <w:t>Slide 30/35: (Untitled)</w:t>
      </w:r>
    </w:p>
    <w:p>
      <w:r>
        <w:rPr>
          <w:i/>
          <w:color w:val="888888"/>
        </w:rPr>
        <w:t>[Image placeholder]</w:t>
      </w:r>
    </w:p>
    <w:p>
      <w:pPr>
        <w:pStyle w:val="Heading3"/>
      </w:pPr>
      <w:r>
        <w:rPr>
          <w:sz w:val="24"/>
        </w:rPr>
        <w:t>Slide 31/35: (Untitled)</w:t>
      </w:r>
    </w:p>
    <w:p>
      <w:r>
        <w:rPr>
          <w:i/>
          <w:color w:val="888888"/>
        </w:rPr>
        <w:t>[Image placeholder]</w:t>
      </w:r>
    </w:p>
    <w:p>
      <w:pPr>
        <w:pStyle w:val="Heading3"/>
      </w:pPr>
      <w:r>
        <w:rPr>
          <w:sz w:val="24"/>
        </w:rPr>
        <w:t>Slide 32/35: (Untitled)</w:t>
      </w:r>
    </w:p>
    <w:p>
      <w:r>
        <w:rPr>
          <w:i/>
          <w:color w:val="888888"/>
        </w:rPr>
        <w:t>[Image placeholder]</w:t>
      </w:r>
    </w:p>
    <w:p>
      <w:pPr>
        <w:pStyle w:val="Heading3"/>
      </w:pPr>
      <w:r>
        <w:rPr>
          <w:sz w:val="24"/>
        </w:rPr>
        <w:t>Slide 33/35: (Untitled)</w:t>
      </w:r>
    </w:p>
    <w:p>
      <w:r>
        <w:rPr>
          <w:i/>
          <w:color w:val="888888"/>
        </w:rPr>
        <w:t>[Image placeholder]</w:t>
      </w:r>
    </w:p>
    <w:p>
      <w:pPr>
        <w:pStyle w:val="Heading3"/>
      </w:pPr>
      <w:r>
        <w:rPr>
          <w:sz w:val="24"/>
        </w:rPr>
        <w:t>Slide 34/35: (Untitled)</w:t>
      </w:r>
    </w:p>
    <w:p>
      <w:r>
        <w:rPr>
          <w:i/>
          <w:color w:val="888888"/>
        </w:rPr>
        <w:t>[Image placeholder]</w:t>
      </w:r>
    </w:p>
    <w:p>
      <w:pPr>
        <w:pStyle w:val="Heading3"/>
      </w:pPr>
      <w:r>
        <w:rPr>
          <w:sz w:val="24"/>
        </w:rPr>
        <w:t>Slide 35/35: (Untitled)</w:t>
      </w:r>
    </w:p>
    <w:p>
      <w:r>
        <w:rPr>
          <w:i/>
          <w:color w:val="888888"/>
        </w:rPr>
        <w:t>[Image placeholder]</w:t>
      </w:r>
    </w:p>
    <w:p>
      <w:pPr>
        <w:pStyle w:val="Heading2"/>
      </w:pPr>
      <w:r>
        <w:t>Assignment</w:t>
      </w:r>
    </w:p>
    <w:p>
      <w:r>
        <w:rPr>
          <w:b/>
          <w:color w:val="008800"/>
        </w:rPr>
        <w:t>[Assignment 12]: 12_Organizations and Producer Codes</w:t>
      </w:r>
    </w:p>
    <w:p>
      <w:r>
        <w:rPr>
          <w:i/>
          <w:sz w:val="18"/>
        </w:rPr>
        <w:t>File: 12_Organizations and Producer Codes.pdf</w:t>
      </w:r>
    </w:p>
    <w:p/>
    <w:p>
      <w:pPr>
        <w:spacing w:before="240"/>
        <w:jc w:val="center"/>
      </w:pPr>
      <w:r>
        <w:rPr>
          <w:i/>
          <w:color w:val="999999"/>
          <w:sz w:val="16"/>
        </w:rPr>
        <w:t>--- End of Lesson 12: Organizations and Producer Codes | 35 slides | 47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