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13: Forms</w:t>
      </w:r>
    </w:p>
    <w:p>
      <w:pPr>
        <w:spacing w:after="40"/>
      </w:pPr>
      <w:r>
        <w:rPr>
          <w:i/>
          <w:color w:val="999999"/>
          <w:sz w:val="16"/>
        </w:rPr>
        <w:t>Source: In_policy_14_Forms.pptx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1/32: (Untitled)</w:t>
      </w:r>
    </w:p>
    <w:p>
      <w:r>
        <w:rPr>
          <w:i/>
          <w:color w:val="888888"/>
        </w:rPr>
        <w:t>[Image placeholder]</w:t>
      </w:r>
    </w:p>
    <w:p>
      <w:pPr>
        <w:pStyle w:val="Heading3"/>
      </w:pPr>
      <w:r>
        <w:rPr>
          <w:sz w:val="24"/>
        </w:rPr>
        <w:t>Slide 2/32: (Untitled)</w:t>
      </w:r>
    </w:p>
    <w:p>
      <w:r>
        <w:rPr>
          <w:i/>
          <w:color w:val="888888"/>
        </w:rPr>
        <w:t>[Image placeholder]</w:t>
      </w:r>
    </w:p>
    <w:p>
      <w:pPr>
        <w:pStyle w:val="Heading3"/>
      </w:pPr>
      <w:r>
        <w:rPr>
          <w:sz w:val="24"/>
        </w:rPr>
        <w:t>Slide 3/32: (Untitled)</w:t>
      </w:r>
    </w:p>
    <w:p>
      <w:r>
        <w:rPr>
          <w:i/>
          <w:color w:val="888888"/>
        </w:rPr>
        <w:t>[Image placeholder]</w:t>
      </w:r>
    </w:p>
    <w:p>
      <w:pPr>
        <w:pStyle w:val="Heading3"/>
      </w:pPr>
      <w:r>
        <w:rPr>
          <w:sz w:val="24"/>
        </w:rPr>
        <w:t>Slide 4/32: (Untitled)</w:t>
      </w:r>
    </w:p>
    <w:p>
      <w:r>
        <w:rPr>
          <w:i/>
          <w:color w:val="888888"/>
        </w:rPr>
        <w:t>[Image placeholder]</w:t>
      </w:r>
    </w:p>
    <w:p>
      <w:pPr>
        <w:spacing w:before="80" w:after="80"/>
        <w:shd w:fill="E8E8E8" w:val="clear"/>
      </w:pPr>
      <w:r>
        <w:rPr>
          <w:i/>
          <w:color w:val="444444"/>
          <w:sz w:val="18"/>
        </w:rPr>
        <w:t>Speaker Notes: What is a form?</w:t>
        <w:br/>
        <w:t>Examples of forms:</w:t>
        <w:br/>
        <w:t>Declaration sheets – A declaration sheet is an index or summary of all exposures, coverages, and in some cases additional forms.</w:t>
        <w:br/>
        <w:t>Base forms - These forms are attached regardless of what coverages or exposure units are selected. They have legal language defining who is the insured, the insurer etc. They typically include a set of standard coverages which additional forms will either amend or delete.</w:t>
        <w:br/>
        <w:t>Additional coverage forms - These forms add additional coverage. For example, a "Hired Auto Coverage Form“ may add hired auto coverage to a base form where it was not originally specified. Exclusion forms – These forms limit coverages. For example, a "Mold and Fungus Exclusion Form" might limit coverage on a homeowners policy such that damage due to mold and fungus is not covered or covered only to a certain amount.</w:t>
        <w:br/>
        <w:t>Manuscript forms – These forms are blank forms with space for free form text where the carrier can type one additional legal terms for the policy.</w:t>
      </w:r>
    </w:p>
    <w:p>
      <w:pPr>
        <w:pStyle w:val="Heading3"/>
      </w:pPr>
      <w:r>
        <w:rPr>
          <w:sz w:val="24"/>
        </w:rPr>
        <w:t>Slide 5/32: (Untitled)</w:t>
      </w:r>
    </w:p>
    <w:p>
      <w:r>
        <w:rPr>
          <w:i/>
          <w:color w:val="888888"/>
        </w:rPr>
        <w:t>[Image placeholder]</w:t>
      </w:r>
    </w:p>
    <w:p>
      <w:pPr>
        <w:spacing w:before="80" w:after="80"/>
        <w:shd w:fill="E8E8E8" w:val="clear"/>
      </w:pPr>
      <w:r>
        <w:rPr>
          <w:i/>
          <w:color w:val="444444"/>
          <w:sz w:val="18"/>
        </w:rPr>
        <w:t>Speaker Notes: When can a form appear on a policy?</w:t>
        <w:br/>
        <w:t>Examples of transactions when a form might be incorporated in a policy include: submissions, policy changes or renewals, etc. Note: During audit transactions, the forms are not added to the policy file.</w:t>
        <w:br/>
        <w:br/>
        <w:t>The Forms appear on the policy after it is quoted or bound, and will be grayed out before quoting or binding.</w:t>
      </w:r>
    </w:p>
    <w:p>
      <w:pPr>
        <w:pStyle w:val="Heading3"/>
      </w:pPr>
      <w:r>
        <w:rPr>
          <w:sz w:val="24"/>
        </w:rPr>
        <w:t>Slide 6/32: (Untitled)</w:t>
      </w:r>
    </w:p>
    <w:p>
      <w:r>
        <w:rPr>
          <w:i/>
          <w:color w:val="888888"/>
        </w:rPr>
        <w:t>[Image placeholder]</w:t>
      </w:r>
    </w:p>
    <w:p>
      <w:pPr>
        <w:spacing w:before="80" w:after="80"/>
        <w:shd w:fill="E8E8E8" w:val="clear"/>
      </w:pPr>
      <w:r>
        <w:rPr>
          <w:i/>
          <w:color w:val="444444"/>
          <w:sz w:val="18"/>
        </w:rPr>
        <w:t>Speaker Notes: Forms inference</w:t>
        <w:br/>
        <w:t>PolicyCenter generates forms based on the policy details, such as coverages, exclusions and other details (e.g., drivers or buildings). This is called form inference.</w:t>
      </w:r>
    </w:p>
    <w:p>
      <w:pPr>
        <w:pStyle w:val="Heading3"/>
      </w:pPr>
      <w:r>
        <w:rPr>
          <w:sz w:val="24"/>
        </w:rPr>
        <w:t>Slide 7/32: (Untitled)</w:t>
      </w:r>
    </w:p>
    <w:p>
      <w:r>
        <w:rPr>
          <w:i/>
          <w:color w:val="888888"/>
        </w:rPr>
        <w:t>[Image placeholder]</w:t>
      </w:r>
    </w:p>
    <w:p>
      <w:pPr>
        <w:spacing w:before="80" w:after="80"/>
        <w:shd w:fill="E8E8E8" w:val="clear"/>
      </w:pPr>
      <w:r>
        <w:rPr>
          <w:i/>
          <w:color w:val="444444"/>
          <w:sz w:val="18"/>
        </w:rPr>
        <w:t>Speaker Notes: Forms inference</w:t>
        <w:br/>
        <w:t>The form definitions and inference logic are managed by the form patterns in the Administration section. More complicated inference logic can be added in Gosu classes. Configuration developers can find details on which classes to configure in the PolicyCenter documentation. The list of forms may be different at quote time since the information needed to accurately infer some forms is available only at binding time.</w:t>
      </w:r>
    </w:p>
    <w:p>
      <w:pPr>
        <w:pStyle w:val="Heading3"/>
      </w:pPr>
      <w:r>
        <w:rPr>
          <w:sz w:val="24"/>
        </w:rPr>
        <w:t>Slide 8/32: (Untitled)</w:t>
      </w:r>
    </w:p>
    <w:p>
      <w:r>
        <w:rPr>
          <w:i/>
          <w:color w:val="888888"/>
        </w:rPr>
        <w:t>[Image placeholder]</w:t>
      </w:r>
    </w:p>
    <w:p>
      <w:pPr>
        <w:spacing w:before="80" w:after="80"/>
        <w:shd w:fill="E8E8E8" w:val="clear"/>
      </w:pPr>
      <w:r>
        <w:rPr>
          <w:i/>
          <w:color w:val="444444"/>
          <w:sz w:val="18"/>
        </w:rPr>
        <w:t>Speaker Notes: Forms inference</w:t>
        <w:br/>
        <w:t>After the policy is bound, the list of forms may be different from the preview seen before binding.</w:t>
      </w:r>
    </w:p>
    <w:p>
      <w:pPr>
        <w:pStyle w:val="Heading3"/>
      </w:pPr>
      <w:r>
        <w:rPr>
          <w:sz w:val="24"/>
        </w:rPr>
        <w:t>Slide 9/32: (Untitled)</w:t>
      </w:r>
    </w:p>
    <w:p>
      <w:r>
        <w:rPr>
          <w:i/>
          <w:color w:val="888888"/>
        </w:rPr>
        <w:t>[Image placeholder]</w:t>
      </w:r>
    </w:p>
    <w:p>
      <w:pPr>
        <w:spacing w:before="80" w:after="80"/>
        <w:shd w:fill="E8E8E8" w:val="clear"/>
      </w:pPr>
      <w:r>
        <w:rPr>
          <w:i/>
          <w:color w:val="444444"/>
          <w:sz w:val="18"/>
        </w:rPr>
        <w:t>Speaker Notes: When are forms inferred (generic form inference)?</w:t>
        <w:br/>
        <w:t>Common inference conditions can be defined directly in the Inference tab of the form pattern, and is often referred to as Generic form inference. The user has control over the conditions that initially include the form and update the form mid-term. If a policy changes, then new forms are generated, and the previous forms are invalidated.</w:t>
      </w:r>
    </w:p>
    <w:p>
      <w:pPr>
        <w:pStyle w:val="Heading3"/>
      </w:pPr>
      <w:r>
        <w:rPr>
          <w:sz w:val="24"/>
        </w:rPr>
        <w:t>Slide 10/32: (Untitled)</w:t>
      </w:r>
    </w:p>
    <w:p>
      <w:r>
        <w:rPr>
          <w:i/>
          <w:color w:val="888888"/>
        </w:rPr>
        <w:t>[Image placeholder]</w:t>
      </w:r>
    </w:p>
    <w:p>
      <w:pPr>
        <w:spacing w:before="80" w:after="80"/>
        <w:shd w:fill="E8E8E8" w:val="clear"/>
      </w:pPr>
      <w:r>
        <w:rPr>
          <w:i/>
          <w:color w:val="444444"/>
          <w:sz w:val="18"/>
        </w:rPr>
        <w:t>Speaker Notes: Creating form content</w:t>
        <w:br/>
        <w:t>When PolicyCenter issues a policy, it sends the form metadata plus the policy data to the document production system (DP S) ( e.g., Thunderhead)to create the actual form content, such as a PDF document. The document production system contains the form template for each type of form and uses the form metadata to find the correct form template which is filled with the necessary policy data. The created form contents are normally stored in a document management system Integration with these systems can allow PolicyCenter users to preview, search, retrieve, and submit the created forms.</w:t>
      </w:r>
    </w:p>
    <w:p>
      <w:pPr>
        <w:pStyle w:val="Heading3"/>
      </w:pPr>
      <w:r>
        <w:rPr>
          <w:sz w:val="24"/>
        </w:rPr>
        <w:t>Slide 11/32: (Untitled)</w:t>
      </w:r>
    </w:p>
    <w:p>
      <w:r>
        <w:rPr>
          <w:i/>
          <w:color w:val="888888"/>
        </w:rPr>
        <w:t>[Image placeholder]</w:t>
      </w:r>
    </w:p>
    <w:p>
      <w:pPr>
        <w:pStyle w:val="Heading3"/>
      </w:pPr>
      <w:r>
        <w:rPr>
          <w:sz w:val="24"/>
        </w:rPr>
        <w:t>Slide 12/32: (Untitled)</w:t>
      </w:r>
    </w:p>
    <w:p>
      <w:r>
        <w:rPr>
          <w:i/>
          <w:color w:val="888888"/>
        </w:rPr>
        <w:t>[Image placeholder]</w:t>
      </w:r>
    </w:p>
    <w:p>
      <w:pPr>
        <w:spacing w:before="80" w:after="80"/>
        <w:shd w:fill="E8E8E8" w:val="clear"/>
      </w:pPr>
      <w:r>
        <w:rPr>
          <w:i/>
          <w:color w:val="444444"/>
          <w:sz w:val="18"/>
        </w:rPr>
        <w:t>Speaker Notes: Form or Document?</w:t>
        <w:br/>
        <w:t xml:space="preserve">PolicyCenter has the ability to add a document to an account, a policy or a job. A document in PolicyCenter is any electronic file  (PDF, Word or Email) which contains information relevant to a policy or account. It can be anything and may be added at any time to a policy or account, such as a good student report, a blueprint, image, etc. </w:t>
        <w:br/>
        <w:br/>
        <w:t>A form is part of the policy contract and contains legal information about the policy, such as a policy declaration.  PolicyCenter automatically infers" the necessary forms needed on the policy when you click Quote or Bind. Forms are published with a bound policy.</w:t>
        <w:br/>
        <w:br/>
        <w:t>PolicyCenter defines inference logics using form patterns. Forms are automatically added using the inference engine.  PolicyCenter does not store the form's content, only the metadata of the form.</w:t>
      </w:r>
    </w:p>
    <w:p>
      <w:pPr>
        <w:pStyle w:val="Heading3"/>
      </w:pPr>
      <w:r>
        <w:rPr>
          <w:sz w:val="24"/>
        </w:rPr>
        <w:t>Slide 13/32: (Untitled)</w:t>
      </w:r>
    </w:p>
    <w:p>
      <w:r>
        <w:rPr>
          <w:i/>
          <w:color w:val="888888"/>
        </w:rPr>
        <w:t>[Image placeholder]</w:t>
      </w:r>
    </w:p>
    <w:p>
      <w:pPr>
        <w:pStyle w:val="Heading3"/>
      </w:pPr>
      <w:r>
        <w:rPr>
          <w:sz w:val="24"/>
        </w:rPr>
        <w:t>Slide 14/32: (Untitled)</w:t>
      </w:r>
    </w:p>
    <w:p>
      <w:r>
        <w:rPr>
          <w:i/>
          <w:color w:val="888888"/>
        </w:rPr>
        <w:t>[Image placeholder]</w:t>
      </w:r>
    </w:p>
    <w:p>
      <w:pPr>
        <w:spacing w:before="80" w:after="80"/>
        <w:shd w:fill="E8E8E8" w:val="clear"/>
      </w:pPr>
      <w:r>
        <w:rPr>
          <w:i/>
          <w:color w:val="444444"/>
          <w:sz w:val="18"/>
        </w:rPr>
        <w:t>Speaker Notes: Form pattern</w:t>
        <w:br/>
        <w:t>The form pattern defines a set of metadata information which is used to identify the form in the Document Production System and it also contains a set of rules used by PolicyCenter to determine whether to add a form. Administrative users can define form patterns using the Add button. As a policy transaction is quoted or bound, it conditionally adds forms defined by form patterns for that product.</w:t>
      </w:r>
    </w:p>
    <w:p>
      <w:pPr>
        <w:pStyle w:val="Heading3"/>
      </w:pPr>
      <w:r>
        <w:rPr>
          <w:sz w:val="24"/>
        </w:rPr>
        <w:t>Slide 15/32: (Untitled)</w:t>
      </w:r>
    </w:p>
    <w:p>
      <w:r>
        <w:rPr>
          <w:i/>
          <w:color w:val="888888"/>
        </w:rPr>
        <w:t>[Image placeholder]</w:t>
      </w:r>
    </w:p>
    <w:p>
      <w:pPr>
        <w:spacing w:before="80" w:after="80"/>
        <w:shd w:fill="E8E8E8" w:val="clear"/>
      </w:pPr>
      <w:r>
        <w:rPr>
          <w:i/>
          <w:color w:val="444444"/>
          <w:sz w:val="18"/>
        </w:rPr>
        <w:t>Speaker Notes: Form pattern definition</w:t>
        <w:br/>
        <w:t>Business users can configure forms in the user interface. In order to access the form administration user interface, users must log in as a user with the appropriate permissions. The following permissions are required to work with form configuration:</w:t>
        <w:br/>
        <w:t>formpatcreate: permission to create new form patterns</w:t>
        <w:br/>
        <w:t>formpatview: permission to access the form editor and view existing form patterns</w:t>
        <w:br/>
        <w:t>formpatedit: permission to edit existing form patterns</w:t>
        <w:br/>
        <w:t>formpatdelete: permission to delete existing form patterns</w:t>
      </w:r>
    </w:p>
    <w:p>
      <w:pPr>
        <w:pStyle w:val="Heading3"/>
      </w:pPr>
      <w:r>
        <w:rPr>
          <w:sz w:val="24"/>
        </w:rPr>
        <w:t>Slide 16/32: (Untitled)</w:t>
      </w:r>
    </w:p>
    <w:p>
      <w:r>
        <w:rPr>
          <w:i/>
          <w:color w:val="888888"/>
        </w:rPr>
        <w:t>[Image placeholder]</w:t>
      </w:r>
    </w:p>
    <w:p>
      <w:pPr>
        <w:spacing w:before="80" w:after="80"/>
        <w:shd w:fill="E8E8E8" w:val="clear"/>
      </w:pPr>
      <w:r>
        <w:rPr>
          <w:i/>
          <w:color w:val="444444"/>
          <w:sz w:val="18"/>
        </w:rPr>
        <w:t>Speaker Notes: Endorsement numbers</w:t>
        <w:br/>
        <w:t>The endorsement number indicates the order that the form was added to the policy. The insurer decides whether the form requires an endorsement number and the Priority field in the Form Pattern determines the order for assigning an endorsement number. Some insurers may require an endorsement number for forms added after issuing the policy. For example, a form added in a policy change requires an endorsement number. Endorsement numbering starts with 1 for the first contract form on the policy. The endorsement numbers apply within a policy period and are reset to 1 on renewals or rewrites. Each additional contract form is numbered sequentially after the first form.</w:t>
      </w:r>
    </w:p>
    <w:p>
      <w:pPr>
        <w:pStyle w:val="Heading3"/>
      </w:pPr>
      <w:r>
        <w:rPr>
          <w:sz w:val="24"/>
        </w:rPr>
        <w:t>Slide 17/32: (Untitled)</w:t>
      </w:r>
    </w:p>
    <w:p>
      <w:r>
        <w:rPr>
          <w:i/>
          <w:color w:val="888888"/>
        </w:rPr>
        <w:t>[Image placeholder]</w:t>
      </w:r>
    </w:p>
    <w:p>
      <w:pPr>
        <w:spacing w:before="80" w:after="80"/>
        <w:shd w:fill="E8E8E8" w:val="clear"/>
      </w:pPr>
      <w:r>
        <w:rPr>
          <w:i/>
          <w:color w:val="444444"/>
          <w:sz w:val="18"/>
        </w:rPr>
        <w:t>Speaker Notes: Demonstration</w:t>
        <w:br/>
        <w:t>Users can define form patterns using the Add button if they havethe appropriate permissions. As PolicyCenter creates an instance of a policy, it conditionally adds forms defined by form patterns for that product.</w:t>
        <w:br/>
        <w:br/>
        <w:t>Users can search for a form that exists by entering the form number, form name or Group Code in the respective fields. Then click on Search button. This returns the forms that match the search criteria.</w:t>
        <w:br/>
        <w:br/>
        <w:t>Duplicate and Delete buttons are available when users select a form to delete or create a copy of the form. The product filter is available to filter the form patterns by product. The form administration PCFs use permissions to control the availability of various parts of the forms IJI- For example, if a user does not have the formpatdelete permission, the buttons for deleting a FormPattern will be hidden and they won't be able to delete anything</w:t>
      </w:r>
    </w:p>
    <w:p>
      <w:pPr>
        <w:pStyle w:val="Heading3"/>
      </w:pPr>
      <w:r>
        <w:rPr>
          <w:sz w:val="24"/>
        </w:rPr>
        <w:t>Slide 18/32: (Untitled)</w:t>
      </w:r>
    </w:p>
    <w:p>
      <w:pPr>
        <w:pStyle w:val="Heading3"/>
      </w:pPr>
      <w:r>
        <w:rPr>
          <w:sz w:val="24"/>
        </w:rPr>
        <w:t>Slide 19/32: (Untitled)</w:t>
      </w:r>
    </w:p>
    <w:p>
      <w:r>
        <w:rPr>
          <w:i/>
          <w:color w:val="888888"/>
        </w:rPr>
        <w:t>[Image placeholder]</w:t>
      </w:r>
    </w:p>
    <w:p>
      <w:pPr>
        <w:pStyle w:val="Heading3"/>
      </w:pPr>
      <w:r>
        <w:rPr>
          <w:sz w:val="24"/>
        </w:rPr>
        <w:t>Slide 20/32: (Untitled)</w:t>
      </w:r>
    </w:p>
    <w:p>
      <w:r>
        <w:rPr>
          <w:i/>
          <w:color w:val="888888"/>
        </w:rPr>
        <w:t>[Image placeholder]</w:t>
      </w:r>
    </w:p>
    <w:p>
      <w:pPr>
        <w:spacing w:before="80" w:after="80"/>
        <w:shd w:fill="E8E8E8" w:val="clear"/>
      </w:pPr>
      <w:r>
        <w:rPr>
          <w:i/>
          <w:color w:val="444444"/>
          <w:sz w:val="18"/>
        </w:rPr>
        <w:t>Speaker Notes: Triggering from coverages</w:t>
        <w:br/>
        <w:t>How to represent when a coverage triggers an endorsement, but only under certain circumstances? Example: Different states have different requirements to handle coverages. Some states will endorse a policy, others won’t</w:t>
        <w:br/>
        <w:br/>
        <w:t xml:space="preserve"> How to represent cases where a coverage term triggers an endorsement?</w:t>
        <w:br/>
        <w:t xml:space="preserve">Example: Specific limits trigger an endorsement with higher limits </w:t>
        <w:br/>
        <w:br/>
        <w:t>Forms that are applicable to a single line of business can be added only for policies created from the applicable product. For example, a Businessowners submission would have access to the Limitation of Coverages for Properties on Landfill form or the War Liability Exclusions form, but a Commercial Auto submission would not.</w:t>
      </w:r>
    </w:p>
    <w:p>
      <w:pPr>
        <w:pStyle w:val="Heading3"/>
      </w:pPr>
      <w:r>
        <w:rPr>
          <w:sz w:val="24"/>
        </w:rPr>
        <w:t>Slide 21/32: (Untitled)</w:t>
      </w:r>
    </w:p>
    <w:p>
      <w:r>
        <w:rPr>
          <w:i/>
          <w:color w:val="888888"/>
        </w:rPr>
        <w:t>[Image placeholder]</w:t>
      </w:r>
    </w:p>
    <w:p>
      <w:pPr>
        <w:spacing w:before="80" w:after="80"/>
        <w:shd w:fill="E8E8E8" w:val="clear"/>
      </w:pPr>
      <w:r>
        <w:rPr>
          <w:i/>
          <w:color w:val="444444"/>
          <w:sz w:val="18"/>
        </w:rPr>
        <w:t>Speaker Notes: Jurisdiction-specific versions of forms</w:t>
        <w:br/>
        <w:t>Forms that are applicable to a single state or set of states, can typically be added only for policies where the accounts base state is in one of the applicable</w:t>
        <w:br/>
        <w:t>states, or where a location-based exposure unit is in one of the applicable states. For example, an account in Kentucky with a covered warehouse in Tennessee would have access to the "Privacy Policy - Kentucky" form, but not to the "Privacy Policy - Illinois" form.</w:t>
        <w:br/>
        <w:br/>
        <w:t>Some forms are applicable to all lines of business for all states. For example, a "Hired Auto Exclusions" form may be appropriate for all Commercial Auto policies, regardless of the states involved.</w:t>
      </w:r>
    </w:p>
    <w:p>
      <w:pPr>
        <w:pStyle w:val="Heading3"/>
      </w:pPr>
      <w:r>
        <w:rPr>
          <w:sz w:val="24"/>
        </w:rPr>
        <w:t>Slide 22/32: (Untitled)</w:t>
      </w:r>
    </w:p>
    <w:p>
      <w:r>
        <w:rPr>
          <w:i/>
          <w:color w:val="888888"/>
        </w:rPr>
        <w:t>[Image placeholder]</w:t>
      </w:r>
    </w:p>
    <w:p>
      <w:pPr>
        <w:spacing w:before="80" w:after="80"/>
        <w:shd w:fill="E8E8E8" w:val="clear"/>
      </w:pPr>
      <w:r>
        <w:rPr>
          <w:i/>
          <w:color w:val="444444"/>
          <w:sz w:val="18"/>
        </w:rPr>
        <w:t>Speaker Notes: Form multiplicity</w:t>
        <w:br/>
        <w:t>Some business cases may require multiple instances of the same form. For example, a personal auto policy with multiple vehicles may require multiple instances of a single form for each vehicle. PolicyCenter supports form multiplicity, but it does require configuration which is documented in PolicyCenter Integration Guide.</w:t>
      </w:r>
    </w:p>
    <w:p>
      <w:pPr>
        <w:pStyle w:val="Heading3"/>
      </w:pPr>
      <w:r>
        <w:rPr>
          <w:sz w:val="24"/>
        </w:rPr>
        <w:t>Slide 23/32: (Untitled)</w:t>
      </w:r>
    </w:p>
    <w:p>
      <w:r>
        <w:rPr>
          <w:i/>
          <w:color w:val="888888"/>
        </w:rPr>
        <w:t>[Image placeholder]</w:t>
      </w:r>
    </w:p>
    <w:p>
      <w:pPr>
        <w:pStyle w:val="Heading3"/>
      </w:pPr>
      <w:r>
        <w:rPr>
          <w:sz w:val="24"/>
        </w:rPr>
        <w:t>Slide 24/32: (Untitled)</w:t>
      </w:r>
    </w:p>
    <w:p>
      <w:r>
        <w:rPr>
          <w:i/>
          <w:color w:val="888888"/>
        </w:rPr>
        <w:t>[Image placeholder]</w:t>
      </w:r>
    </w:p>
    <w:p>
      <w:pPr>
        <w:spacing w:before="80" w:after="80"/>
        <w:shd w:fill="E8E8E8" w:val="clear"/>
      </w:pPr>
      <w:r>
        <w:rPr>
          <w:i/>
          <w:color w:val="444444"/>
          <w:sz w:val="18"/>
        </w:rPr>
        <w:t>Speaker Notes: New editions and expiring forms</w:t>
        <w:br/>
        <w:t>There are occasions when a new edition of a form must be added.</w:t>
        <w:br/>
        <w:t>New jobs expire the old form and it is replaced with a new edition</w:t>
        <w:br/>
        <w:t>Data changes require a new edition</w:t>
        <w:br/>
        <w:br/>
        <w:t>During a policy change,</w:t>
        <w:br/>
        <w:t>PolicyCenter must determine whether a version of the reissued form is already present, and must determine whether the old form data is the same as the new form version. If a previous version of a form exists and the form pattern is no longer inferred by the current data, then PolicyCenter will set the removal date on the previous version (ignored during processing) and will add a new form if it is inferred according to the form pattern.</w:t>
        <w:br/>
        <w:br/>
        <w:t>If a previous version of a form exists and PolicyCenter infers a form with different data from the previous form version then PolicyCenter will set the removaldate on the previous version, add the new version and mark the new version, superceding the previous version. Additional details about form editions is available in PolicyCenter's "Policy Change Tab for Form Patterns“ documentation.</w:t>
      </w:r>
    </w:p>
    <w:p>
      <w:pPr>
        <w:pStyle w:val="Heading3"/>
      </w:pPr>
      <w:r>
        <w:rPr>
          <w:sz w:val="24"/>
        </w:rPr>
        <w:t>Slide 25/32: (Untitled)</w:t>
      </w:r>
    </w:p>
    <w:p>
      <w:r>
        <w:rPr>
          <w:i/>
          <w:color w:val="888888"/>
        </w:rPr>
        <w:t>[Image placeholder]</w:t>
      </w:r>
    </w:p>
    <w:p>
      <w:pPr>
        <w:pStyle w:val="Heading3"/>
      </w:pPr>
      <w:r>
        <w:rPr>
          <w:sz w:val="24"/>
        </w:rPr>
        <w:t>Slide 26/32: (Untitled)</w:t>
      </w:r>
    </w:p>
    <w:p>
      <w:r>
        <w:rPr>
          <w:i/>
          <w:color w:val="888888"/>
        </w:rPr>
        <w:t>[Image placeholder]</w:t>
      </w:r>
    </w:p>
    <w:p>
      <w:pPr>
        <w:pStyle w:val="Heading3"/>
      </w:pPr>
      <w:r>
        <w:rPr>
          <w:sz w:val="24"/>
        </w:rPr>
        <w:t>Slide 27/32: (Untitled)</w:t>
      </w:r>
    </w:p>
    <w:p>
      <w:r>
        <w:rPr>
          <w:i/>
          <w:color w:val="888888"/>
        </w:rPr>
        <w:t>[Image placeholder]</w:t>
      </w:r>
    </w:p>
    <w:p>
      <w:pPr>
        <w:pStyle w:val="Heading3"/>
      </w:pPr>
      <w:r>
        <w:rPr>
          <w:sz w:val="24"/>
        </w:rPr>
        <w:t>Slide 28/32: (Untitled)</w:t>
      </w:r>
    </w:p>
    <w:p>
      <w:r>
        <w:rPr>
          <w:i/>
          <w:color w:val="888888"/>
        </w:rPr>
        <w:t>[Image placeholder]</w:t>
      </w:r>
    </w:p>
    <w:p>
      <w:pPr>
        <w:pStyle w:val="Heading3"/>
      </w:pPr>
      <w:r>
        <w:rPr>
          <w:sz w:val="24"/>
        </w:rPr>
        <w:t>Slide 29/32: (Untitled)</w:t>
      </w:r>
    </w:p>
    <w:p>
      <w:r>
        <w:rPr>
          <w:i/>
          <w:color w:val="888888"/>
        </w:rPr>
        <w:t>[Image placeholder]</w:t>
      </w:r>
    </w:p>
    <w:p>
      <w:pPr>
        <w:pStyle w:val="Heading3"/>
      </w:pPr>
      <w:r>
        <w:rPr>
          <w:sz w:val="24"/>
        </w:rPr>
        <w:t>Slide 30/32: (Untitled)</w:t>
      </w:r>
    </w:p>
    <w:p>
      <w:r>
        <w:rPr>
          <w:i/>
          <w:color w:val="888888"/>
        </w:rPr>
        <w:t>[Image placeholder]</w:t>
      </w:r>
    </w:p>
    <w:p>
      <w:pPr>
        <w:pStyle w:val="Heading3"/>
      </w:pPr>
      <w:r>
        <w:rPr>
          <w:sz w:val="24"/>
        </w:rPr>
        <w:t>Slide 31/32: (Untitled)</w:t>
      </w:r>
    </w:p>
    <w:p>
      <w:r>
        <w:rPr>
          <w:i/>
          <w:color w:val="888888"/>
        </w:rPr>
        <w:t>[Image placeholder]</w:t>
      </w:r>
    </w:p>
    <w:p>
      <w:pPr>
        <w:pStyle w:val="Heading3"/>
      </w:pPr>
      <w:r>
        <w:rPr>
          <w:sz w:val="24"/>
        </w:rPr>
        <w:t>Slide 32/32: (Untitled)</w:t>
      </w:r>
    </w:p>
    <w:p>
      <w:r>
        <w:rPr>
          <w:i/>
          <w:color w:val="888888"/>
        </w:rPr>
        <w:t>[Image placeholder]</w:t>
      </w:r>
    </w:p>
    <w:p>
      <w:pPr>
        <w:pStyle w:val="Heading2"/>
      </w:pPr>
      <w:r>
        <w:t>Assignment</w:t>
      </w:r>
    </w:p>
    <w:p>
      <w:r>
        <w:rPr>
          <w:b/>
          <w:color w:val="008800"/>
        </w:rPr>
        <w:t>[Assignment 13]: 13_Forms</w:t>
      </w:r>
    </w:p>
    <w:p>
      <w:r>
        <w:rPr>
          <w:i/>
          <w:sz w:val="18"/>
        </w:rPr>
        <w:t>File: 13_Forms.pdf</w:t>
      </w:r>
    </w:p>
    <w:p/>
    <w:p>
      <w:pPr>
        <w:spacing w:before="240"/>
        <w:jc w:val="center"/>
      </w:pPr>
      <w:r>
        <w:rPr>
          <w:i/>
          <w:color w:val="999999"/>
          <w:sz w:val="16"/>
        </w:rPr>
        <w:t>--- End of Lesson 13: Forms | 32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