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14: Introduction to Underwriting Authority</w:t>
      </w:r>
    </w:p>
    <w:p>
      <w:pPr>
        <w:spacing w:after="40"/>
      </w:pPr>
      <w:r>
        <w:rPr>
          <w:i/>
          <w:color w:val="999999"/>
          <w:sz w:val="16"/>
        </w:rPr>
        <w:t>Source: In_policy_15_Introduction to Underwriting Authority.pptx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1/22: (Untitled)</w:t>
      </w:r>
    </w:p>
    <w:p>
      <w:r>
        <w:rPr>
          <w:i/>
          <w:color w:val="888888"/>
        </w:rPr>
        <w:t>[Image placeholder]</w:t>
      </w:r>
    </w:p>
    <w:p>
      <w:pPr>
        <w:pStyle w:val="Heading3"/>
      </w:pPr>
      <w:r>
        <w:rPr>
          <w:sz w:val="24"/>
        </w:rPr>
        <w:t>Slide 2/22: (Untitled)</w:t>
      </w:r>
    </w:p>
    <w:p>
      <w:r>
        <w:rPr>
          <w:i/>
          <w:color w:val="888888"/>
        </w:rPr>
        <w:t>[Image placeholder]</w:t>
      </w:r>
    </w:p>
    <w:p>
      <w:pPr>
        <w:pStyle w:val="Heading3"/>
      </w:pPr>
      <w:r>
        <w:rPr>
          <w:sz w:val="24"/>
        </w:rPr>
        <w:t>Slide 3/22: (Untitled)</w:t>
      </w:r>
    </w:p>
    <w:p>
      <w:r>
        <w:rPr>
          <w:i/>
          <w:color w:val="888888"/>
        </w:rPr>
        <w:t>[Image placeholder]</w:t>
      </w:r>
    </w:p>
    <w:p>
      <w:pPr>
        <w:pStyle w:val="Heading3"/>
      </w:pPr>
      <w:r>
        <w:rPr>
          <w:sz w:val="24"/>
        </w:rPr>
        <w:t>Slide 4/22: (Untitled)</w:t>
      </w:r>
    </w:p>
    <w:p>
      <w:r>
        <w:rPr>
          <w:i/>
          <w:color w:val="888888"/>
        </w:rPr>
        <w:t>[Image placeholder]</w:t>
      </w:r>
    </w:p>
    <w:p>
      <w:pPr>
        <w:spacing w:before="80" w:after="80"/>
        <w:shd w:fill="E8E8E8" w:val="clear"/>
      </w:pPr>
      <w:r>
        <w:rPr>
          <w:i/>
          <w:color w:val="444444"/>
          <w:sz w:val="18"/>
        </w:rPr>
        <w:t>Speaker Notes: Underwriting process</w:t>
        <w:br/>
        <w:t>An agent or a producer creates a policy using the submission transaction. If the policy has an issue that blocks quoting, the agent cannot view the quote until the undewriter approves the issue and releases the policy back to the agent. Once the underwriter approves the issue, then the agent can view the quote, then bind and issue the policy, or the agent can edit the  policy which potentially raises new issues. The new issues will have to go through the underwriting process agaim</w:t>
      </w:r>
    </w:p>
    <w:p>
      <w:pPr>
        <w:pStyle w:val="Heading3"/>
      </w:pPr>
      <w:r>
        <w:rPr>
          <w:sz w:val="24"/>
        </w:rPr>
        <w:t>Slide 5/22: (Untitled)</w:t>
      </w:r>
    </w:p>
    <w:p>
      <w:r>
        <w:rPr>
          <w:i/>
          <w:color w:val="888888"/>
        </w:rPr>
        <w:t>[Image placeholder]</w:t>
      </w:r>
    </w:p>
    <w:p>
      <w:pPr>
        <w:spacing w:before="80" w:after="80"/>
        <w:shd w:fill="E8E8E8" w:val="clear"/>
      </w:pPr>
      <w:r>
        <w:rPr>
          <w:i/>
          <w:color w:val="444444"/>
          <w:sz w:val="18"/>
        </w:rPr>
        <w:t>Speaker Notes: Underwriting authority</w:t>
        <w:br/>
        <w:t>The details on how to configure the undewriting authority will be covered in the Configuring Undenvriting Authority module in the Po/icyCenter Configuration Guide course.</w:t>
      </w:r>
    </w:p>
    <w:p>
      <w:pPr>
        <w:pStyle w:val="Heading3"/>
      </w:pPr>
      <w:r>
        <w:rPr>
          <w:sz w:val="24"/>
        </w:rPr>
        <w:t>Slide 6/22: (Untitled)</w:t>
      </w:r>
    </w:p>
    <w:p>
      <w:r>
        <w:rPr>
          <w:i/>
          <w:color w:val="888888"/>
        </w:rPr>
        <w:t>[Image placeholder]</w:t>
      </w:r>
    </w:p>
    <w:p>
      <w:pPr>
        <w:spacing w:before="80" w:after="80"/>
        <w:shd w:fill="E8E8E8" w:val="clear"/>
      </w:pPr>
      <w:r>
        <w:rPr>
          <w:i/>
          <w:color w:val="444444"/>
          <w:sz w:val="18"/>
        </w:rPr>
        <w:t>Speaker Notes: Underwriting issues</w:t>
        <w:br/>
        <w:t>There are certain issues that can be approved by agents, but certain issues need special approval from underwriters. Forexample, if the driver or applicant has a suspended/revoked license, then the agent cannot quote the policy and an underwriting issue is raised and sent to the underwriter for approval. However, if a driver is driving a vehicle garaged in CA but has a valid MA driver’s license, then the agents canverify the license and an underwriting issue will not be  raised. PolicyCenter raises issues automatically based on policy choices such as vehicles types on a policy or coverage amounts.</w:t>
      </w:r>
    </w:p>
    <w:p>
      <w:pPr>
        <w:pStyle w:val="Heading3"/>
      </w:pPr>
      <w:r>
        <w:rPr>
          <w:sz w:val="24"/>
        </w:rPr>
        <w:t>Slide 7/22: (Untitled)</w:t>
      </w:r>
    </w:p>
    <w:p>
      <w:r>
        <w:rPr>
          <w:i/>
          <w:color w:val="888888"/>
        </w:rPr>
        <w:t>[Image placeholder]</w:t>
      </w:r>
    </w:p>
    <w:p>
      <w:pPr>
        <w:pStyle w:val="Heading3"/>
      </w:pPr>
      <w:r>
        <w:rPr>
          <w:sz w:val="24"/>
        </w:rPr>
        <w:t>Slide 8/22: (Untitled)</w:t>
      </w:r>
    </w:p>
    <w:p>
      <w:r>
        <w:rPr>
          <w:i/>
          <w:color w:val="888888"/>
        </w:rPr>
        <w:t>[Image placeholder]</w:t>
      </w:r>
    </w:p>
    <w:p>
      <w:pPr>
        <w:spacing w:before="80" w:after="80"/>
        <w:shd w:fill="E8E8E8" w:val="clear"/>
      </w:pPr>
      <w:r>
        <w:rPr>
          <w:i/>
          <w:color w:val="444444"/>
          <w:sz w:val="18"/>
        </w:rPr>
        <w:t>Speaker Notes: Checking set</w:t>
        <w:br/>
        <w:t>A checking set is one of the important fields in underwriting rules. It works together with the blocking point, which is discussed in detail on the next slide.  For example, the underwriting rule for high-value vehicles has a checking set as pre-quote. When a quote is requested, it checks if this issue exists. Ifthe issueexists, it raises a high-value vehicle underwriting issue at quote time. The rule has a blocking point as a bind, so a premium is generated and displayed, however, it blocks binds and the issue must be resolved before binding the policy.</w:t>
      </w:r>
    </w:p>
    <w:p>
      <w:pPr>
        <w:pStyle w:val="Heading3"/>
      </w:pPr>
      <w:r>
        <w:rPr>
          <w:sz w:val="24"/>
        </w:rPr>
        <w:t>Slide 9/22: (Untitled)</w:t>
      </w:r>
    </w:p>
    <w:p>
      <w:r>
        <w:rPr>
          <w:i/>
          <w:color w:val="888888"/>
        </w:rPr>
        <w:t>[Image placeholder]</w:t>
      </w:r>
    </w:p>
    <w:p>
      <w:pPr>
        <w:spacing w:before="80" w:after="80"/>
        <w:shd w:fill="E8E8E8" w:val="clear"/>
      </w:pPr>
      <w:r>
        <w:rPr>
          <w:i/>
          <w:color w:val="444444"/>
          <w:sz w:val="18"/>
        </w:rPr>
        <w:t>Speaker Notes: Blocking point</w:t>
        <w:br/>
        <w:t>Users define a blocking point for each underwriting rule. For example, PolicyCenter prevents a user from binding a policy until a high-value vehicle underwriting issue is approved.</w:t>
        <w:br/>
        <w:br/>
        <w:t>Blocking points can be set to non-blocking so that an issue does not stop the job, but shows up as an informational issue on the Risk Analysis page as shown in the slide. When the underwriting issue is informational, the agent can progress further in the job and quote, bind and issue the policy. Informational issues do not need underwriter approval.</w:t>
        <w:br/>
        <w:br/>
        <w:t>Note: Issues can be detected early, but then block at a much later point. For example, you can detect fire-breathing clowns before quoting a policy, but the issue will block binding.</w:t>
        <w:br/>
        <w:t>By detecting issues early, you can provide added visibility to PolicyCenter users, and improve their ability to plan their work.</w:t>
        <w:br/>
        <w:t>Detect issues as early as possible and think carefullyabout where they will block progress.</w:t>
        <w:br/>
        <w:t>If a field were only available on a quote screen (e.g.  manual pricing adjustment factor), but its value blocked the quote, it would result in you not being able to return to the earlier screen to implement changes.</w:t>
      </w:r>
    </w:p>
    <w:p>
      <w:pPr>
        <w:pStyle w:val="Heading3"/>
      </w:pPr>
      <w:r>
        <w:rPr>
          <w:sz w:val="24"/>
        </w:rPr>
        <w:t>Slide 10/22: (Untitled)</w:t>
      </w:r>
    </w:p>
    <w:p>
      <w:r>
        <w:rPr>
          <w:i/>
          <w:color w:val="888888"/>
        </w:rPr>
        <w:t>[Image placeholder]</w:t>
      </w:r>
    </w:p>
    <w:p>
      <w:pPr>
        <w:pStyle w:val="Heading3"/>
      </w:pPr>
      <w:r>
        <w:rPr>
          <w:sz w:val="24"/>
        </w:rPr>
        <w:t>Slide 11/22: (Untitled)</w:t>
      </w:r>
    </w:p>
    <w:p>
      <w:pPr>
        <w:pStyle w:val="Heading3"/>
      </w:pPr>
      <w:r>
        <w:rPr>
          <w:sz w:val="24"/>
        </w:rPr>
        <w:t>Slide 12/22: (Untitled)</w:t>
      </w:r>
    </w:p>
    <w:p>
      <w:r>
        <w:rPr>
          <w:i/>
          <w:color w:val="888888"/>
        </w:rPr>
        <w:t>[Image placeholder]</w:t>
      </w:r>
    </w:p>
    <w:p>
      <w:pPr>
        <w:pStyle w:val="Heading3"/>
      </w:pPr>
      <w:r>
        <w:rPr>
          <w:sz w:val="24"/>
        </w:rPr>
        <w:t>Slide 13/22: (Untitled)</w:t>
      </w:r>
    </w:p>
    <w:p>
      <w:r>
        <w:rPr>
          <w:i/>
          <w:color w:val="888888"/>
        </w:rPr>
        <w:t>[Image placeholder]</w:t>
      </w:r>
    </w:p>
    <w:p>
      <w:pPr>
        <w:pStyle w:val="Heading3"/>
      </w:pPr>
      <w:r>
        <w:rPr>
          <w:sz w:val="24"/>
        </w:rPr>
        <w:t>Slide 14/22: (Untitled)</w:t>
      </w:r>
    </w:p>
    <w:p>
      <w:r>
        <w:rPr>
          <w:i/>
          <w:color w:val="888888"/>
        </w:rPr>
        <w:t>[Image placeholder]</w:t>
      </w:r>
    </w:p>
    <w:p>
      <w:pPr>
        <w:pStyle w:val="Heading3"/>
      </w:pPr>
      <w:r>
        <w:rPr>
          <w:sz w:val="24"/>
        </w:rPr>
        <w:t>Slide 15/22: (Untitled)</w:t>
      </w:r>
    </w:p>
    <w:p>
      <w:r>
        <w:rPr>
          <w:i/>
          <w:color w:val="888888"/>
        </w:rPr>
        <w:t>[Image placeholder]</w:t>
      </w:r>
    </w:p>
    <w:p>
      <w:pPr>
        <w:pStyle w:val="Heading3"/>
      </w:pPr>
      <w:r>
        <w:rPr>
          <w:sz w:val="24"/>
        </w:rPr>
        <w:t>Slide 16/22: (Untitled)</w:t>
      </w:r>
    </w:p>
    <w:p>
      <w:r>
        <w:rPr>
          <w:i/>
          <w:color w:val="888888"/>
        </w:rPr>
        <w:t>[Image placeholder]</w:t>
      </w:r>
    </w:p>
    <w:p>
      <w:pPr>
        <w:pStyle w:val="Heading3"/>
      </w:pPr>
      <w:r>
        <w:rPr>
          <w:sz w:val="24"/>
        </w:rPr>
        <w:t>Slide 17/22: (Untitled)</w:t>
      </w:r>
    </w:p>
    <w:p>
      <w:r>
        <w:rPr>
          <w:i/>
          <w:color w:val="888888"/>
        </w:rPr>
        <w:t>[Image placeholder]</w:t>
      </w:r>
    </w:p>
    <w:p>
      <w:pPr>
        <w:pStyle w:val="Heading3"/>
      </w:pPr>
      <w:r>
        <w:rPr>
          <w:sz w:val="24"/>
        </w:rPr>
        <w:t>Slide 18/22: (Untitled)</w:t>
      </w:r>
    </w:p>
    <w:p>
      <w:r>
        <w:rPr>
          <w:i/>
          <w:color w:val="888888"/>
        </w:rPr>
        <w:t>[Image placeholder]</w:t>
      </w:r>
    </w:p>
    <w:p>
      <w:pPr>
        <w:pStyle w:val="Heading3"/>
      </w:pPr>
      <w:r>
        <w:rPr>
          <w:sz w:val="24"/>
        </w:rPr>
        <w:t>Slide 19/22: (Untitled)</w:t>
      </w:r>
    </w:p>
    <w:p>
      <w:r>
        <w:rPr>
          <w:i/>
          <w:color w:val="888888"/>
        </w:rPr>
        <w:t>[Image placeholder]</w:t>
      </w:r>
    </w:p>
    <w:p>
      <w:pPr>
        <w:pStyle w:val="Heading3"/>
      </w:pPr>
      <w:r>
        <w:rPr>
          <w:sz w:val="24"/>
        </w:rPr>
        <w:t>Slide 20/22: (Untitled)</w:t>
      </w:r>
    </w:p>
    <w:p>
      <w:r>
        <w:rPr>
          <w:i/>
          <w:color w:val="888888"/>
        </w:rPr>
        <w:t>[Image placeholder]</w:t>
      </w:r>
    </w:p>
    <w:p>
      <w:pPr>
        <w:pStyle w:val="Heading3"/>
      </w:pPr>
      <w:r>
        <w:rPr>
          <w:sz w:val="24"/>
        </w:rPr>
        <w:t>Slide 21/22: (Untitled)</w:t>
      </w:r>
    </w:p>
    <w:p>
      <w:r>
        <w:rPr>
          <w:i/>
          <w:color w:val="888888"/>
        </w:rPr>
        <w:t>[Image placeholder]</w:t>
      </w:r>
    </w:p>
    <w:p>
      <w:pPr>
        <w:pStyle w:val="Heading3"/>
      </w:pPr>
      <w:r>
        <w:rPr>
          <w:sz w:val="24"/>
        </w:rPr>
        <w:t>Slide 22/22: (Untitled)</w:t>
      </w:r>
    </w:p>
    <w:p>
      <w:r>
        <w:rPr>
          <w:i/>
          <w:color w:val="888888"/>
        </w:rPr>
        <w:t>[Image placeholder]</w:t>
      </w:r>
    </w:p>
    <w:p>
      <w:pPr>
        <w:pStyle w:val="Heading2"/>
      </w:pPr>
      <w:r>
        <w:t>Assignment</w:t>
      </w:r>
    </w:p>
    <w:p>
      <w:r>
        <w:rPr>
          <w:b/>
          <w:color w:val="008800"/>
        </w:rPr>
        <w:t>[Assignment 14]: 14_Introduction to Underwriting Authority</w:t>
      </w:r>
    </w:p>
    <w:p>
      <w:r>
        <w:rPr>
          <w:i/>
          <w:sz w:val="18"/>
        </w:rPr>
        <w:t>File: 14_Introduction to Underwriting Authority.pdf</w:t>
      </w:r>
    </w:p>
    <w:p/>
    <w:p>
      <w:pPr>
        <w:spacing w:before="240"/>
        <w:jc w:val="center"/>
      </w:pPr>
      <w:r>
        <w:rPr>
          <w:i/>
          <w:color w:val="999999"/>
          <w:sz w:val="16"/>
        </w:rPr>
        <w:t>--- End of Lesson 14: Introduction to Underwriting Authority | 22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