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15: Managing Underwriting Authority</w:t>
      </w:r>
    </w:p>
    <w:p>
      <w:pPr>
        <w:spacing w:after="40"/>
      </w:pPr>
      <w:r>
        <w:rPr>
          <w:i/>
          <w:color w:val="999999"/>
          <w:sz w:val="16"/>
        </w:rPr>
        <w:t>Source: In_policy_16_Managing Underwriting Authority.pptx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1/19: (Untitled)</w:t>
      </w:r>
    </w:p>
    <w:p>
      <w:r>
        <w:rPr>
          <w:i/>
          <w:color w:val="888888"/>
        </w:rPr>
        <w:t>[Image placeholder]</w:t>
      </w:r>
    </w:p>
    <w:p>
      <w:pPr>
        <w:pStyle w:val="Heading3"/>
      </w:pPr>
      <w:r>
        <w:rPr>
          <w:sz w:val="24"/>
        </w:rPr>
        <w:t>Slide 2/19: (Untitled)</w:t>
      </w:r>
    </w:p>
    <w:p>
      <w:r>
        <w:rPr>
          <w:i/>
          <w:color w:val="888888"/>
        </w:rPr>
        <w:t>[Image placeholder]</w:t>
      </w:r>
    </w:p>
    <w:p>
      <w:pPr>
        <w:pStyle w:val="Heading3"/>
      </w:pPr>
      <w:r>
        <w:rPr>
          <w:sz w:val="24"/>
        </w:rPr>
        <w:t>Slide 3/19: (Untitled)</w:t>
      </w:r>
    </w:p>
    <w:p>
      <w:r>
        <w:rPr>
          <w:i/>
          <w:color w:val="888888"/>
        </w:rPr>
        <w:t>[Image placeholder]</w:t>
      </w:r>
    </w:p>
    <w:p>
      <w:pPr>
        <w:pStyle w:val="Heading3"/>
      </w:pPr>
      <w:r>
        <w:rPr>
          <w:sz w:val="24"/>
        </w:rPr>
        <w:t>Slide 4/19: (Untitled)</w:t>
      </w:r>
    </w:p>
    <w:p>
      <w:r>
        <w:rPr>
          <w:i/>
          <w:color w:val="888888"/>
        </w:rPr>
        <w:t>[Image placeholder]</w:t>
      </w:r>
    </w:p>
    <w:p>
      <w:pPr>
        <w:spacing w:before="80" w:after="80"/>
        <w:shd w:fill="E8E8E8" w:val="clear"/>
      </w:pPr>
      <w:r>
        <w:rPr>
          <w:i/>
          <w:color w:val="444444"/>
          <w:sz w:val="18"/>
        </w:rPr>
        <w:t>Speaker Notes: Underwriting rules</w:t>
        <w:br/>
        <w:t>PolicyCenter uses the UW Rule to define the UW Issue Type and specify the conditions to raise the issue. Configuration users should create and manage the set of underwriting rules and their characteristics very carefully.  Guidewire recommends that you do not remove underwriting rules once they have been deployed in a production system.</w:t>
        <w:br/>
        <w:br/>
        <w:t>The Underwriting Rule Screen can be divided into several categories.</w:t>
        <w:br/>
        <w:t>Fields related to defining the UW Rule (mostly on the Rule Details tab). It includes Name, Code, Description, Checking Set, Blocking Point, Enabled, Start and End Date-</w:t>
        <w:br/>
        <w:t>Fields related to evaluating the UW Issue. It includes the Applicability section, Rule Context, Rule Condition and UW Issue Details-</w:t>
        <w:br/>
        <w:t>Fields related to approving the UW Issue (mostly on the Advanced tab). It includes Auto- approvable, Default Edit Before Bind, Default Approval Blocking Point,  Default Duration (Rule Details tab), Value Comparator, Value Formatter Type, Default Value Assignment Type and Default Value Offset Amount.</w:t>
        <w:br/>
        <w:br/>
        <w:t>PolicyCenter uses underwriting rule values:</w:t>
        <w:br/>
        <w:t>to check the condition and raise UW issue</w:t>
        <w:br/>
        <w:t>for determining availability of the Approve button, indicating that you can approve a specific issue to the default level to initially set the userinterface for approvals that do not already have an approval present</w:t>
        <w:br/>
        <w:t>as automated approvals for auto-approvable issues and issues in automated processes</w:t>
      </w:r>
    </w:p>
    <w:p>
      <w:pPr>
        <w:pStyle w:val="Heading3"/>
      </w:pPr>
      <w:r>
        <w:rPr>
          <w:sz w:val="24"/>
        </w:rPr>
        <w:t>Slide 5/19: (Untitled)</w:t>
      </w:r>
    </w:p>
    <w:p>
      <w:r>
        <w:rPr>
          <w:i/>
          <w:color w:val="888888"/>
        </w:rPr>
        <w:t>[Image placeholder]</w:t>
      </w:r>
    </w:p>
    <w:p>
      <w:pPr>
        <w:pStyle w:val="Heading3"/>
      </w:pPr>
      <w:r>
        <w:rPr>
          <w:sz w:val="24"/>
        </w:rPr>
        <w:t>Slide 6/19: (Untitled)</w:t>
      </w:r>
    </w:p>
    <w:p>
      <w:pPr>
        <w:pStyle w:val="Heading3"/>
      </w:pPr>
      <w:r>
        <w:rPr>
          <w:sz w:val="24"/>
        </w:rPr>
        <w:t>Slide 7/19: (Untitled)</w:t>
      </w:r>
    </w:p>
    <w:p>
      <w:r>
        <w:rPr>
          <w:i/>
          <w:color w:val="888888"/>
        </w:rPr>
        <w:t>[Image placeholder]</w:t>
      </w:r>
    </w:p>
    <w:p>
      <w:pPr>
        <w:pStyle w:val="Heading3"/>
      </w:pPr>
      <w:r>
        <w:rPr>
          <w:sz w:val="24"/>
        </w:rPr>
        <w:t>Slide 8/19: (Untitled)</w:t>
      </w:r>
    </w:p>
    <w:p>
      <w:pPr>
        <w:pStyle w:val="Heading3"/>
      </w:pPr>
      <w:r>
        <w:rPr>
          <w:sz w:val="24"/>
        </w:rPr>
        <w:t>Slide 9/19: (Untitled)</w:t>
      </w:r>
    </w:p>
    <w:p>
      <w:r>
        <w:rPr>
          <w:i/>
          <w:color w:val="888888"/>
        </w:rPr>
        <w:t>[Image placeholder]</w:t>
      </w:r>
    </w:p>
    <w:p>
      <w:pPr>
        <w:pStyle w:val="Heading3"/>
      </w:pPr>
      <w:r>
        <w:rPr>
          <w:sz w:val="24"/>
        </w:rPr>
        <w:t>Slide 10/19: (Untitled)</w:t>
      </w:r>
    </w:p>
    <w:p>
      <w:r>
        <w:rPr>
          <w:i/>
          <w:color w:val="888888"/>
        </w:rPr>
        <w:t>[Image placeholder]</w:t>
      </w:r>
    </w:p>
    <w:p>
      <w:pPr>
        <w:spacing w:before="80" w:after="80"/>
        <w:shd w:fill="E8E8E8" w:val="clear"/>
      </w:pPr>
      <w:r>
        <w:rPr>
          <w:i/>
          <w:color w:val="444444"/>
          <w:sz w:val="18"/>
        </w:rPr>
        <w:t>Speaker Notes: Authority grants and authority profiles</w:t>
        <w:br/>
        <w:t>Authority grants are similar to physical letters of authority. Each authority grant is based on an issue type defined in the underwriting rules. The authority grant can specify the values which need additional approval. Users can have zero or more Authority Profiles assigned to them. Authority profiles is different than a role. In the examples above, Job-level is the job grade a customer might have. In the base application the job-levels are Underwriter 1, Underwriter 2, and so on. When an underwriter has a specific expertise such as knowledge about Farm Equipment one can assign authority grants related to specific class codes and create a profile with those grants. Incremental, •Joe's Special" — bumps Joe's authority up a bit, since he isn't quite ready for a promotion to "Underwriter 2", meaning that the person has all the grants for "Underwriter 1" and some additional grants but not all the grants that he needs to be at ZI-Jnderwriter 2" level.</w:t>
      </w:r>
    </w:p>
    <w:p>
      <w:pPr>
        <w:pStyle w:val="Heading3"/>
      </w:pPr>
      <w:r>
        <w:rPr>
          <w:sz w:val="24"/>
        </w:rPr>
        <w:t>Slide 11/19: (Untitled)</w:t>
      </w:r>
    </w:p>
    <w:p>
      <w:r>
        <w:rPr>
          <w:i/>
          <w:color w:val="888888"/>
        </w:rPr>
        <w:t>[Image placeholder]</w:t>
      </w:r>
    </w:p>
    <w:p>
      <w:pPr>
        <w:spacing w:before="80" w:after="80"/>
        <w:shd w:fill="E8E8E8" w:val="clear"/>
      </w:pPr>
      <w:r>
        <w:rPr>
          <w:i/>
          <w:color w:val="444444"/>
          <w:sz w:val="18"/>
        </w:rPr>
        <w:t>Speaker Notes: Authority Profile Example: Agent I</w:t>
        <w:br/>
        <w:t>In the base configuration, the Agent 1 profile has these authority grants for personal auto policies. It determines what a user with the Agent 1 profile can do.</w:t>
      </w:r>
    </w:p>
    <w:p>
      <w:pPr>
        <w:pStyle w:val="Heading3"/>
      </w:pPr>
      <w:r>
        <w:rPr>
          <w:sz w:val="24"/>
        </w:rPr>
        <w:t>Slide 12/19: (Untitled)</w:t>
      </w:r>
    </w:p>
    <w:p>
      <w:r>
        <w:rPr>
          <w:i/>
          <w:color w:val="888888"/>
        </w:rPr>
        <w:t>[Image placeholder]</w:t>
      </w:r>
    </w:p>
    <w:p>
      <w:pPr>
        <w:pStyle w:val="Heading3"/>
      </w:pPr>
      <w:r>
        <w:rPr>
          <w:sz w:val="24"/>
        </w:rPr>
        <w:t>Slide 13/19: (Untitled)</w:t>
      </w:r>
    </w:p>
    <w:p>
      <w:pPr>
        <w:pStyle w:val="Heading3"/>
      </w:pPr>
      <w:r>
        <w:rPr>
          <w:sz w:val="24"/>
        </w:rPr>
        <w:t>Slide 14/19: (Untitled)</w:t>
      </w:r>
    </w:p>
    <w:p>
      <w:r>
        <w:rPr>
          <w:i/>
          <w:color w:val="888888"/>
        </w:rPr>
        <w:t>[Image placeholder]</w:t>
      </w:r>
    </w:p>
    <w:p>
      <w:pPr>
        <w:pStyle w:val="Heading3"/>
      </w:pPr>
      <w:r>
        <w:rPr>
          <w:sz w:val="24"/>
        </w:rPr>
        <w:t>Slide 15/19: (Untitled)</w:t>
      </w:r>
    </w:p>
    <w:p>
      <w:r>
        <w:rPr>
          <w:i/>
          <w:color w:val="888888"/>
        </w:rPr>
        <w:t>[Image placeholder]</w:t>
      </w:r>
    </w:p>
    <w:p>
      <w:pPr>
        <w:spacing w:before="80" w:after="80"/>
        <w:shd w:fill="E8E8E8" w:val="clear"/>
      </w:pPr>
      <w:r>
        <w:rPr>
          <w:i/>
          <w:color w:val="444444"/>
          <w:sz w:val="18"/>
        </w:rPr>
        <w:t>Speaker Notes: Deploying underwriting rules</w:t>
        <w:br/>
        <w:t>Underwriting rules should be created and tested in a development environment. In that environment the rules can be tested and modified as necessary to get the expected results. This is the suggested method of creating underwriting rules. In extreme circumstances you can create rules on the fly in productiom However, you will generally want to use a development server for rule creation and testing. When the rules are tested and approved, you can migrate them to the production environment.</w:t>
      </w:r>
    </w:p>
    <w:p>
      <w:pPr>
        <w:pStyle w:val="Heading3"/>
      </w:pPr>
      <w:r>
        <w:rPr>
          <w:sz w:val="24"/>
        </w:rPr>
        <w:t>Slide 16/19: (Untitled)</w:t>
      </w:r>
    </w:p>
    <w:p>
      <w:r>
        <w:rPr>
          <w:i/>
          <w:color w:val="888888"/>
        </w:rPr>
        <w:t>[Image placeholder]</w:t>
      </w:r>
    </w:p>
    <w:p>
      <w:pPr>
        <w:spacing w:before="80" w:after="80"/>
        <w:shd w:fill="E8E8E8" w:val="clear"/>
      </w:pPr>
      <w:r>
        <w:rPr>
          <w:i/>
          <w:color w:val="444444"/>
          <w:sz w:val="18"/>
        </w:rPr>
        <w:t>Speaker Notes: Underwriting rule life cycle</w:t>
        <w:br/>
        <w:t>On the development server, the initial status of a rule is Draft. After the rule is tested and approved, you set the status to Staged by clicking the Promote to Stage button on the Edit rule page.</w:t>
        <w:br/>
        <w:t>Once a rule is in Staged status, it can be exported from the development server to the testing environment After it is fully tested, you can set the status to Approved so that it can be imported into the production server.</w:t>
      </w:r>
    </w:p>
    <w:p>
      <w:pPr>
        <w:pStyle w:val="Heading3"/>
      </w:pPr>
      <w:r>
        <w:rPr>
          <w:sz w:val="24"/>
        </w:rPr>
        <w:t>Slide 17/19: (Untitled)</w:t>
      </w:r>
    </w:p>
    <w:p>
      <w:r>
        <w:rPr>
          <w:i/>
          <w:color w:val="888888"/>
        </w:rPr>
        <w:t>[Image placeholder]</w:t>
      </w:r>
    </w:p>
    <w:p>
      <w:pPr>
        <w:spacing w:before="80" w:after="80"/>
        <w:shd w:fill="E8E8E8" w:val="clear"/>
      </w:pPr>
      <w:r>
        <w:rPr>
          <w:i/>
          <w:color w:val="444444"/>
          <w:sz w:val="18"/>
        </w:rPr>
        <w:t>Speaker Notes: Exporting and importing rules</w:t>
        <w:br/>
        <w:t>On both development and production servers, you import and export rules from the Underwriting Rules page. On the development server, you can only export rules that have a status of Staged. Once the export is complete, indicated by the Progress showing at 100%, you can download the file.</w:t>
        <w:br/>
        <w:br/>
        <w:t>You can then import that file into either the development or production server depending on which direction you are going.</w:t>
      </w:r>
    </w:p>
    <w:p>
      <w:pPr>
        <w:pStyle w:val="Heading3"/>
      </w:pPr>
      <w:r>
        <w:rPr>
          <w:sz w:val="24"/>
        </w:rPr>
        <w:t>Slide 18/19: (Untitled)</w:t>
      </w:r>
    </w:p>
    <w:p>
      <w:r>
        <w:rPr>
          <w:i/>
          <w:color w:val="888888"/>
        </w:rPr>
        <w:t>[Image placeholder]</w:t>
      </w:r>
    </w:p>
    <w:p>
      <w:pPr>
        <w:pStyle w:val="Heading3"/>
      </w:pPr>
      <w:r>
        <w:rPr>
          <w:sz w:val="24"/>
        </w:rPr>
        <w:t>Slide 19/19: (Untitled)</w:t>
      </w:r>
    </w:p>
    <w:p>
      <w:r>
        <w:rPr>
          <w:i/>
          <w:color w:val="888888"/>
        </w:rPr>
        <w:t>[Image placeholder]</w:t>
      </w:r>
    </w:p>
    <w:p>
      <w:pPr>
        <w:pStyle w:val="Heading2"/>
      </w:pPr>
      <w:r>
        <w:t>Assignment</w:t>
      </w:r>
    </w:p>
    <w:p>
      <w:r>
        <w:rPr>
          <w:b/>
          <w:color w:val="008800"/>
        </w:rPr>
        <w:t>[Assignment 15]: 15_Managing Underwriting Authority</w:t>
      </w:r>
    </w:p>
    <w:p>
      <w:r>
        <w:rPr>
          <w:i/>
          <w:sz w:val="18"/>
        </w:rPr>
        <w:t>File: 15_Managing Underwriting Authority.pdf</w:t>
      </w:r>
    </w:p>
    <w:p/>
    <w:p>
      <w:pPr>
        <w:spacing w:before="240"/>
        <w:jc w:val="center"/>
      </w:pPr>
      <w:r>
        <w:rPr>
          <w:i/>
          <w:color w:val="999999"/>
          <w:sz w:val="16"/>
        </w:rPr>
        <w:t>--- End of Lesson 15: Managing Underwriting Authority | 19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