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17: Coverages</w:t>
      </w:r>
    </w:p>
    <w:p>
      <w:pPr>
        <w:spacing w:after="40"/>
      </w:pPr>
      <w:r>
        <w:rPr>
          <w:i/>
          <w:color w:val="999999"/>
          <w:sz w:val="16"/>
        </w:rPr>
        <w:t>Source: In_policy_18_Coverages.pptx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1/25: (Untitled)</w:t>
      </w:r>
    </w:p>
    <w:p>
      <w:r>
        <w:rPr>
          <w:i/>
          <w:color w:val="888888"/>
        </w:rPr>
        <w:t>[Image placeholder]</w:t>
      </w:r>
    </w:p>
    <w:p>
      <w:pPr>
        <w:pStyle w:val="Heading3"/>
      </w:pPr>
      <w:r>
        <w:rPr>
          <w:sz w:val="24"/>
        </w:rPr>
        <w:t>Slide 2/25: (Untitled)</w:t>
      </w:r>
    </w:p>
    <w:p>
      <w:r>
        <w:rPr>
          <w:i/>
          <w:color w:val="888888"/>
        </w:rPr>
        <w:t>[Image placeholder]</w:t>
      </w:r>
    </w:p>
    <w:p>
      <w:pPr>
        <w:pStyle w:val="Heading3"/>
      </w:pPr>
      <w:r>
        <w:rPr>
          <w:sz w:val="24"/>
        </w:rPr>
        <w:t>Slide 3/25: (Untitled)</w:t>
      </w:r>
    </w:p>
    <w:p>
      <w:r>
        <w:rPr>
          <w:i/>
          <w:color w:val="888888"/>
        </w:rPr>
        <w:t>[Image placeholder]</w:t>
      </w:r>
    </w:p>
    <w:p>
      <w:pPr>
        <w:spacing w:before="80" w:after="80"/>
        <w:shd w:fill="E8E8E8" w:val="clear"/>
      </w:pPr>
      <w:r>
        <w:rPr>
          <w:i/>
          <w:color w:val="444444"/>
          <w:sz w:val="18"/>
        </w:rPr>
        <w:t xml:space="preserve">Speaker Notes: Coverables and coverages </w:t>
        <w:br/>
        <w:t>The term coverable refers to any covered object. For example, insurance terminology refers to a covered object, such as a house, as a coverable.</w:t>
        <w:br/>
        <w:t>For liability, the insured is the coverable.</w:t>
        <w:br/>
        <w:t>For liability coverages, PolicyCenter designates the policy line as the coverable to represent the insured.</w:t>
        <w:br/>
        <w:t>For coverages that attach at a location, the location is a coverable. Do not use PolicyLocation as the coverable, but instead, create a separate coverable entity.</w:t>
        <w:br/>
        <w:br/>
        <w:t>Guidewire makes the policy line a coverable to represent the named insureds. Configuration users can further sub-divide coverables into Property coverables and Liability coverables. Property coverables are things with physical attributes (height, weight, value, construction type, age, and similar attributes, for example). Liability coverables are operations represented typically by class codes (coal mining, personal auto operation, for example).</w:t>
        <w:br/>
        <w:br/>
        <w:t>Developers should know that each coverable is stored in its own entity.</w:t>
      </w:r>
    </w:p>
    <w:p>
      <w:pPr>
        <w:pStyle w:val="Heading3"/>
      </w:pPr>
      <w:r>
        <w:rPr>
          <w:sz w:val="24"/>
        </w:rPr>
        <w:t>Slide 4/25: (Untitled)</w:t>
      </w:r>
    </w:p>
    <w:p>
      <w:r>
        <w:rPr>
          <w:i/>
          <w:color w:val="888888"/>
        </w:rPr>
        <w:t>[Image placeholder]</w:t>
      </w:r>
    </w:p>
    <w:p>
      <w:pPr>
        <w:spacing w:before="80" w:after="80"/>
        <w:shd w:fill="E8E8E8" w:val="clear"/>
      </w:pPr>
      <w:r>
        <w:rPr>
          <w:i/>
          <w:color w:val="444444"/>
          <w:sz w:val="18"/>
        </w:rPr>
        <w:t>Speaker Notes: Coverages</w:t>
        <w:br/>
        <w:t>There are important aspects of the coverable that are relevant to developers. They are:</w:t>
        <w:br/>
        <w:t>1. The Coverable entity implements CoverableDelegate interface</w:t>
        <w:br/>
        <w:t>2. A coverable delegate encapsulates coverage behavior</w:t>
        <w:br/>
        <w:t>3. All other coverable-related configuration occurs at coverage level</w:t>
      </w:r>
    </w:p>
    <w:p>
      <w:pPr>
        <w:pStyle w:val="Heading3"/>
      </w:pPr>
      <w:r>
        <w:rPr>
          <w:sz w:val="24"/>
        </w:rPr>
        <w:t>Slide 5/25: (Untitled)</w:t>
      </w:r>
    </w:p>
    <w:p>
      <w:r>
        <w:rPr>
          <w:i/>
          <w:color w:val="888888"/>
        </w:rPr>
        <w:t>[Image placeholder]</w:t>
      </w:r>
    </w:p>
    <w:p>
      <w:pPr>
        <w:spacing w:before="80" w:after="80"/>
        <w:shd w:fill="E8E8E8" w:val="clear"/>
      </w:pPr>
      <w:r>
        <w:rPr>
          <w:i/>
          <w:color w:val="444444"/>
          <w:sz w:val="18"/>
        </w:rPr>
        <w:t>Speaker Notes: Defining coverages in the product model</w:t>
        <w:br/>
        <w:t>The product model defines Coverage pattems. Each CoveragePattern defines the following, l)the Coverable where the coverage is attached 2) the coverage name (used in the IJI), 3) the Coverage Category (used for IJI grouping), 4) coverage availability, and 5) the coverage erequiredness" — whether it is required, suggested, or electable. The pattern also defines the coverage table where the coverage will be stored after it is created. These settings areenforced when the coverages are synchronized with the product model. There is one Coverage pattern for each coverage offered by the insurer.</w:t>
      </w:r>
    </w:p>
    <w:p>
      <w:pPr>
        <w:pStyle w:val="Heading3"/>
      </w:pPr>
      <w:r>
        <w:rPr>
          <w:sz w:val="24"/>
        </w:rPr>
        <w:t>Slide 6/25: (Untitled)</w:t>
      </w:r>
    </w:p>
    <w:p>
      <w:r>
        <w:rPr>
          <w:i/>
          <w:color w:val="888888"/>
        </w:rPr>
        <w:t>[Image placeholder]</w:t>
      </w:r>
    </w:p>
    <w:p>
      <w:pPr>
        <w:spacing w:before="80" w:after="80"/>
        <w:shd w:fill="E8E8E8" w:val="clear"/>
      </w:pPr>
      <w:r>
        <w:rPr>
          <w:i/>
          <w:color w:val="444444"/>
          <w:sz w:val="18"/>
        </w:rPr>
        <w:t>Speaker Notes: Coverage pattern attributes</w:t>
        <w:br/>
        <w:t>The CoveragePattern attributes determine whether or not each relevant coverage is offered on a policy, and whether the user can accept (elect) the coverage or decline it. Business analysts collect the answers to these questions, and developers implement the pattern based on the subsequent requirements.</w:t>
      </w:r>
    </w:p>
    <w:p>
      <w:pPr>
        <w:pStyle w:val="Heading3"/>
      </w:pPr>
      <w:r>
        <w:rPr>
          <w:sz w:val="24"/>
        </w:rPr>
        <w:t>Slide 7/25: (Untitled)</w:t>
      </w:r>
    </w:p>
    <w:p>
      <w:r>
        <w:rPr>
          <w:i/>
          <w:color w:val="888888"/>
        </w:rPr>
        <w:t>[Image placeholder]</w:t>
      </w:r>
    </w:p>
    <w:p>
      <w:pPr>
        <w:spacing w:before="80" w:after="80"/>
        <w:shd w:fill="E8E8E8" w:val="clear"/>
      </w:pPr>
      <w:r>
        <w:rPr>
          <w:i/>
          <w:color w:val="444444"/>
          <w:sz w:val="18"/>
        </w:rPr>
        <w:t>Speaker Notes: Covered object</w:t>
        <w:br/>
        <w:t>It is possible to associate more than one coverage table with a coverable. For example, this might be appropriate if some coverage patterns have unusual characteristics from all other coverages. You define one coverage table for each coverable. However, you can associate more than one coverage table with a coverable.  For example, if some coverage patterns have characteristics that are different from all other coverages, you can define asecond coverage table. Be sure to include in the definition of the coverage table any values needed for all coverage patterns that can be used for the coverable.</w:t>
        <w:br/>
        <w:br/>
        <w:t>Note: In general, Guidewire recommends that you use one coverage table for each coverable, unless there is a clear use case for a second coverage table.</w:t>
      </w:r>
    </w:p>
    <w:p>
      <w:pPr>
        <w:pStyle w:val="Heading3"/>
      </w:pPr>
      <w:r>
        <w:rPr>
          <w:sz w:val="24"/>
        </w:rPr>
        <w:t>Slide 8/25: (Untitled)</w:t>
      </w:r>
    </w:p>
    <w:p>
      <w:r>
        <w:rPr>
          <w:i/>
          <w:color w:val="888888"/>
        </w:rPr>
        <w:t>[Image placeholder]</w:t>
      </w:r>
    </w:p>
    <w:p>
      <w:pPr>
        <w:pStyle w:val="Heading3"/>
      </w:pPr>
      <w:r>
        <w:rPr>
          <w:sz w:val="24"/>
        </w:rPr>
        <w:t>Slide 9/25: (Untitled)</w:t>
      </w:r>
    </w:p>
    <w:p>
      <w:r>
        <w:rPr>
          <w:i/>
          <w:color w:val="888888"/>
        </w:rPr>
        <w:t>[Image placeholder]</w:t>
      </w:r>
    </w:p>
    <w:p>
      <w:pPr>
        <w:pStyle w:val="Heading3"/>
      </w:pPr>
      <w:r>
        <w:rPr>
          <w:sz w:val="24"/>
        </w:rPr>
        <w:t>Slide 10/25: (Untitled)</w:t>
      </w:r>
    </w:p>
    <w:p>
      <w:r>
        <w:rPr>
          <w:i/>
          <w:color w:val="888888"/>
        </w:rPr>
        <w:t>[Image placeholder]</w:t>
      </w:r>
    </w:p>
    <w:p>
      <w:pPr>
        <w:spacing w:before="80" w:after="80"/>
        <w:shd w:fill="E8E8E8" w:val="clear"/>
      </w:pPr>
      <w:r>
        <w:rPr>
          <w:i/>
          <w:color w:val="444444"/>
          <w:sz w:val="18"/>
        </w:rPr>
        <w:t>Speaker Notes: Coverage categories — Personal Auto</w:t>
        <w:br/>
        <w:t>The Personal Auto Physical Damage Group has four CoveragePatterns. The entirecoverage category is associatedwith the Personal Auto PolicyLinePattern.</w:t>
        <w:br/>
        <w:br/>
        <w:t>While CoveragePatterns can be included individually in the user interface (PolicyCenter), coverages are usually added through a coverage category. A policy either has all the available coverages in the group or none of them. In addition to the example in the slide, another example is inthe Business Owner's policy line. The "Location Coverages“ category contains the following</w:t>
        <w:br/>
        <w:t>coverage patterns:</w:t>
        <w:br/>
        <w:t>Outdoor signs</w:t>
        <w:br/>
        <w:t>Windstorm/Hail</w:t>
        <w:br/>
        <w:t>Outdoor Property</w:t>
        <w:br/>
        <w:t>Personal Effects</w:t>
        <w:br/>
        <w:t>Personal Property Off</w:t>
        <w:br/>
        <w:t>Premises</w:t>
      </w:r>
    </w:p>
    <w:p>
      <w:pPr>
        <w:pStyle w:val="Heading3"/>
      </w:pPr>
      <w:r>
        <w:rPr>
          <w:sz w:val="24"/>
        </w:rPr>
        <w:t>Slide 11/25: (Untitled)</w:t>
      </w:r>
    </w:p>
    <w:p>
      <w:r>
        <w:rPr>
          <w:i/>
          <w:color w:val="888888"/>
        </w:rPr>
        <w:t>[Image placeholder]</w:t>
      </w:r>
    </w:p>
    <w:p>
      <w:pPr>
        <w:pStyle w:val="Heading3"/>
      </w:pPr>
      <w:r>
        <w:rPr>
          <w:sz w:val="24"/>
        </w:rPr>
        <w:t>Slide 12/25: (Untitled)</w:t>
      </w:r>
    </w:p>
    <w:p>
      <w:r>
        <w:rPr>
          <w:i/>
          <w:color w:val="888888"/>
        </w:rPr>
        <w:t>[Image placeholder]</w:t>
      </w:r>
    </w:p>
    <w:p>
      <w:pPr>
        <w:pStyle w:val="Heading3"/>
      </w:pPr>
      <w:r>
        <w:rPr>
          <w:sz w:val="24"/>
        </w:rPr>
        <w:t>Slide 13/25: (Untitled)</w:t>
      </w:r>
    </w:p>
    <w:p>
      <w:r>
        <w:rPr>
          <w:i/>
          <w:color w:val="888888"/>
        </w:rPr>
        <w:t>[Image placeholder]</w:t>
      </w:r>
    </w:p>
    <w:p>
      <w:pPr>
        <w:spacing w:before="80" w:after="80"/>
        <w:shd w:fill="E8E8E8" w:val="clear"/>
      </w:pPr>
      <w:r>
        <w:rPr>
          <w:i/>
          <w:color w:val="444444"/>
          <w:sz w:val="18"/>
        </w:rPr>
        <w:t>Speaker Notes: Coverage lookup table for availability</w:t>
        <w:br/>
        <w:t>Each coverage is associated with a coverage lookup table</w:t>
        <w:br/>
        <w:t>Table stores availability criteria for coverages</w:t>
        <w:br/>
        <w:t>Typically, each coverage lookup table is referenced by multiple coverages</w:t>
        <w:br/>
        <w:br/>
        <w:t>Each coverage table defines the individual criteria that can be used for an availability criteriaexpression. In the exampleabove, personal auto coverages associated with the PACov tablecan have criteria based on state and underwriting company. Start date, end date, and availability are columns common to all availability tables.</w:t>
      </w:r>
    </w:p>
    <w:p>
      <w:pPr>
        <w:pStyle w:val="Heading3"/>
      </w:pPr>
      <w:r>
        <w:rPr>
          <w:sz w:val="24"/>
        </w:rPr>
        <w:t>Slide 14/25: (Untitled)</w:t>
      </w:r>
    </w:p>
    <w:p>
      <w:r>
        <w:rPr>
          <w:i/>
          <w:color w:val="888888"/>
        </w:rPr>
        <w:t>[Image placeholder]</w:t>
      </w:r>
    </w:p>
    <w:p>
      <w:pPr>
        <w:pStyle w:val="Heading3"/>
      </w:pPr>
      <w:r>
        <w:rPr>
          <w:sz w:val="24"/>
        </w:rPr>
        <w:t>Slide 15/25: (Untitled)</w:t>
      </w:r>
    </w:p>
    <w:p>
      <w:pPr>
        <w:pStyle w:val="Heading3"/>
      </w:pPr>
      <w:r>
        <w:rPr>
          <w:sz w:val="24"/>
        </w:rPr>
        <w:t>Slide 16/25: (Untitled)</w:t>
      </w:r>
    </w:p>
    <w:p>
      <w:r>
        <w:rPr>
          <w:i/>
          <w:color w:val="888888"/>
        </w:rPr>
        <w:t>[Image placeholder]</w:t>
      </w:r>
    </w:p>
    <w:p>
      <w:pPr>
        <w:spacing w:before="80" w:after="80"/>
        <w:shd w:fill="E8E8E8" w:val="clear"/>
      </w:pPr>
      <w:r>
        <w:rPr>
          <w:i/>
          <w:color w:val="444444"/>
          <w:sz w:val="18"/>
        </w:rPr>
        <w:t>Speaker Notes: Learner story for subclause replationships</w:t>
        <w:br/>
        <w:t>Insurance companies often offer coverages as groups or families of coverages.</w:t>
        <w:br/>
        <w:br/>
        <w:t>There is a feature in Advanced Product Designer which supports the subclause relationship for clauses, such as coverage, conditions, and exclusions.</w:t>
        <w:br/>
        <w:br/>
        <w:t>For more information, please review the course for Advanced Product Designer</w:t>
      </w:r>
    </w:p>
    <w:p>
      <w:pPr>
        <w:pStyle w:val="Heading3"/>
      </w:pPr>
      <w:r>
        <w:rPr>
          <w:sz w:val="24"/>
        </w:rPr>
        <w:t>Slide 17/25: (Untitled)</w:t>
      </w:r>
    </w:p>
    <w:p>
      <w:r>
        <w:rPr>
          <w:i/>
          <w:color w:val="888888"/>
        </w:rPr>
        <w:t>[Image placeholder]</w:t>
      </w:r>
    </w:p>
    <w:p>
      <w:pPr>
        <w:spacing w:before="80" w:after="80"/>
        <w:shd w:fill="E8E8E8" w:val="clear"/>
      </w:pPr>
      <w:r>
        <w:rPr>
          <w:i/>
          <w:color w:val="444444"/>
          <w:sz w:val="18"/>
        </w:rPr>
        <w:t>Speaker Notes: Subclause relationships in Advanced Product Designer</w:t>
        <w:br/>
        <w:t>You can create clauses with subclauses in a mind map.</w:t>
        <w:br/>
        <w:t>A clause can have zero or one parent clause.</w:t>
        <w:br/>
        <w:t>A clause can have multiple subclauses.</w:t>
        <w:br/>
        <w:t>You can create multiple levels of subclauses.</w:t>
        <w:br/>
        <w:t>The subclause and its parent must be of the same clause type. For example, anexclusion cannot be a subclause of a coverage.</w:t>
        <w:br/>
        <w:br/>
        <w:t>After the mind map is imported into PolicyCenter, you can view the subclauses in the visualized product, You can also manage the subclause hierarchy by adding and removing subclauses.</w:t>
      </w:r>
    </w:p>
    <w:p>
      <w:pPr>
        <w:pStyle w:val="Heading3"/>
      </w:pPr>
      <w:r>
        <w:rPr>
          <w:sz w:val="24"/>
        </w:rPr>
        <w:t>Slide 18/25: (Untitled)</w:t>
      </w:r>
    </w:p>
    <w:p>
      <w:r>
        <w:rPr>
          <w:i/>
          <w:color w:val="888888"/>
        </w:rPr>
        <w:t>[Image placeholder]</w:t>
      </w:r>
    </w:p>
    <w:p>
      <w:pPr>
        <w:pStyle w:val="Heading3"/>
      </w:pPr>
      <w:r>
        <w:rPr>
          <w:sz w:val="24"/>
        </w:rPr>
        <w:t>Slide 19/25: (Untitled)</w:t>
      </w:r>
    </w:p>
    <w:p>
      <w:r>
        <w:rPr>
          <w:i/>
          <w:color w:val="888888"/>
        </w:rPr>
        <w:t>[Image placeholder]</w:t>
      </w:r>
    </w:p>
    <w:p>
      <w:pPr>
        <w:pStyle w:val="Heading3"/>
      </w:pPr>
      <w:r>
        <w:rPr>
          <w:sz w:val="24"/>
        </w:rPr>
        <w:t>Slide 20/25: (Untitled)</w:t>
      </w:r>
    </w:p>
    <w:p>
      <w:r>
        <w:rPr>
          <w:i/>
          <w:color w:val="888888"/>
        </w:rPr>
        <w:t>[Image placeholder]</w:t>
      </w:r>
    </w:p>
    <w:p>
      <w:pPr>
        <w:pStyle w:val="Heading3"/>
      </w:pPr>
      <w:r>
        <w:rPr>
          <w:sz w:val="24"/>
        </w:rPr>
        <w:t>Slide 21/25: (Untitled)</w:t>
      </w:r>
    </w:p>
    <w:p>
      <w:r>
        <w:rPr>
          <w:i/>
          <w:color w:val="888888"/>
        </w:rPr>
        <w:t>[Image placeholder]</w:t>
      </w:r>
    </w:p>
    <w:p>
      <w:pPr>
        <w:pStyle w:val="Heading3"/>
      </w:pPr>
      <w:r>
        <w:rPr>
          <w:sz w:val="24"/>
        </w:rPr>
        <w:t>Slide 22/25: (Untitled)</w:t>
      </w:r>
    </w:p>
    <w:p>
      <w:r>
        <w:rPr>
          <w:i/>
          <w:color w:val="888888"/>
        </w:rPr>
        <w:t>[Image placeholder]</w:t>
      </w:r>
    </w:p>
    <w:p>
      <w:pPr>
        <w:pStyle w:val="Heading3"/>
      </w:pPr>
      <w:r>
        <w:rPr>
          <w:sz w:val="24"/>
        </w:rPr>
        <w:t>Slide 23/25: (Untitled)</w:t>
      </w:r>
    </w:p>
    <w:p>
      <w:r>
        <w:rPr>
          <w:i/>
          <w:color w:val="888888"/>
        </w:rPr>
        <w:t>[Image placeholder]</w:t>
      </w:r>
    </w:p>
    <w:p>
      <w:pPr>
        <w:pStyle w:val="Heading3"/>
      </w:pPr>
      <w:r>
        <w:rPr>
          <w:sz w:val="24"/>
        </w:rPr>
        <w:t>Slide 24/25: (Untitled)</w:t>
      </w:r>
    </w:p>
    <w:p>
      <w:r>
        <w:rPr>
          <w:i/>
          <w:color w:val="888888"/>
        </w:rPr>
        <w:t>[Image placeholder]</w:t>
      </w:r>
    </w:p>
    <w:p>
      <w:pPr>
        <w:pStyle w:val="Heading3"/>
      </w:pPr>
      <w:r>
        <w:rPr>
          <w:sz w:val="24"/>
        </w:rPr>
        <w:t>Slide 25/25: (Untitled)</w:t>
      </w:r>
    </w:p>
    <w:p>
      <w:r>
        <w:rPr>
          <w:i/>
          <w:color w:val="888888"/>
        </w:rPr>
        <w:t>[Image placeholder]</w:t>
      </w:r>
    </w:p>
    <w:p>
      <w:pPr>
        <w:pStyle w:val="Heading2"/>
      </w:pPr>
      <w:r>
        <w:t>Assignment</w:t>
      </w:r>
    </w:p>
    <w:p>
      <w:r>
        <w:rPr>
          <w:b/>
          <w:color w:val="008800"/>
        </w:rPr>
        <w:t>[Assignment 17]: 17_Coverages</w:t>
      </w:r>
    </w:p>
    <w:p>
      <w:r>
        <w:rPr>
          <w:i/>
          <w:sz w:val="18"/>
        </w:rPr>
        <w:t>File: 17_Coverages.pdf</w:t>
      </w:r>
    </w:p>
    <w:p/>
    <w:p>
      <w:pPr>
        <w:spacing w:before="240"/>
        <w:jc w:val="center"/>
      </w:pPr>
      <w:r>
        <w:rPr>
          <w:i/>
          <w:color w:val="999999"/>
          <w:sz w:val="16"/>
        </w:rPr>
        <w:t>--- End of Lesson 17: Coverages | 25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