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18: Coverage Terms</w:t>
      </w:r>
    </w:p>
    <w:p>
      <w:pPr>
        <w:spacing w:after="40"/>
      </w:pPr>
      <w:r>
        <w:rPr>
          <w:i/>
          <w:color w:val="999999"/>
          <w:sz w:val="16"/>
        </w:rPr>
        <w:t>Source: In_policy_19_Coverage Terms.pptx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1/22: (Untitled)</w:t>
      </w:r>
    </w:p>
    <w:p>
      <w:r>
        <w:rPr>
          <w:i/>
          <w:color w:val="888888"/>
        </w:rPr>
        <w:t>[Image placeholder]</w:t>
      </w:r>
    </w:p>
    <w:p>
      <w:pPr>
        <w:pStyle w:val="Heading3"/>
      </w:pPr>
      <w:r>
        <w:rPr>
          <w:sz w:val="24"/>
        </w:rPr>
        <w:t>Slide 2/22: (Untitled)</w:t>
      </w:r>
    </w:p>
    <w:p>
      <w:r>
        <w:rPr>
          <w:i/>
          <w:color w:val="888888"/>
        </w:rPr>
        <w:t>[Image placeholder]</w:t>
      </w:r>
    </w:p>
    <w:p>
      <w:pPr>
        <w:pStyle w:val="Heading3"/>
      </w:pPr>
      <w:r>
        <w:rPr>
          <w:sz w:val="24"/>
        </w:rPr>
        <w:t>Slide 3/22: (Untitled)</w:t>
      </w:r>
    </w:p>
    <w:p>
      <w:r>
        <w:rPr>
          <w:i/>
          <w:color w:val="888888"/>
        </w:rPr>
        <w:t>[Image placeholder]</w:t>
      </w:r>
    </w:p>
    <w:p>
      <w:pPr>
        <w:pStyle w:val="Heading3"/>
      </w:pPr>
      <w:r>
        <w:rPr>
          <w:sz w:val="24"/>
        </w:rPr>
        <w:t>Slide 4/22: (Untitled)</w:t>
      </w:r>
    </w:p>
    <w:p>
      <w:r>
        <w:rPr>
          <w:i/>
          <w:color w:val="888888"/>
        </w:rPr>
        <w:t>[Image placeholder]</w:t>
      </w:r>
    </w:p>
    <w:p>
      <w:pPr>
        <w:spacing w:before="80" w:after="80"/>
        <w:shd w:fill="E8E8E8" w:val="clear"/>
      </w:pPr>
      <w:r>
        <w:rPr>
          <w:i/>
          <w:color w:val="444444"/>
          <w:sz w:val="18"/>
        </w:rPr>
        <w:t>Speaker Notes: Coverage terms</w:t>
        <w:br/>
        <w:t>A coverage term pattern holds the configuration information for the terms of a coverage. Each coverage pattern has anassociated coverage term pattern. PolicyCenter uses the coverage term pattern to create coverage term instances for coverage instances.</w:t>
        <w:br/>
        <w:br/>
        <w:t>Here are some examples of coverage patterns for zero, one or many terms attached.</w:t>
        <w:br/>
        <w:br/>
        <w:t>Loss of Use coverage in the base commercial auto line is an example of a coverage pattern with no coverage termpatterns. After you add the coverage, the extent of thecoverage is the same for all policies.</w:t>
        <w:br/>
        <w:t>Hired Auto Collision coverage in the base commercial auto line is an example of a coverage pattern with one term pattern. It has a deductible term, but no other terms, such as a limit.</w:t>
        <w:br/>
        <w:t>The Employee Dishonesty coverage in the base businessowners line is an example of a coverage pattern with multiple coverage term patterns. It has terms for limit, number of covered employees, and number of covered locations.</w:t>
      </w:r>
    </w:p>
    <w:p>
      <w:pPr>
        <w:pStyle w:val="Heading3"/>
      </w:pPr>
      <w:r>
        <w:rPr>
          <w:sz w:val="24"/>
        </w:rPr>
        <w:t>Slide 5/22: (Untitled)</w:t>
      </w:r>
    </w:p>
    <w:p>
      <w:r>
        <w:rPr>
          <w:i/>
          <w:color w:val="888888"/>
        </w:rPr>
        <w:t>[Image placeholder]</w:t>
      </w:r>
    </w:p>
    <w:p>
      <w:pPr>
        <w:spacing w:before="80" w:after="80"/>
        <w:shd w:fill="E8E8E8" w:val="clear"/>
      </w:pPr>
      <w:r>
        <w:rPr>
          <w:i/>
          <w:color w:val="444444"/>
          <w:sz w:val="18"/>
        </w:rPr>
        <w:t>Speaker Notes: Coverage term attributes</w:t>
        <w:br/>
        <w:t>For configuration, the options for the term type are listed in Product Designer. These options control the look and usability of the widget in the user interface.</w:t>
        <w:br/>
        <w:br/>
        <w:t>The model type is what the term value measures. A coverage term's behavior on the user interface is the same regardless of the value for model type.However, this value has implications when the value ispassed to the rating engine, and when a policy is imported into PolicyCenter.</w:t>
      </w:r>
    </w:p>
    <w:p>
      <w:pPr>
        <w:pStyle w:val="Heading3"/>
      </w:pPr>
      <w:r>
        <w:rPr>
          <w:sz w:val="24"/>
        </w:rPr>
        <w:t>Slide 6/22: (Untitled)</w:t>
      </w:r>
    </w:p>
    <w:p>
      <w:r>
        <w:rPr>
          <w:i/>
          <w:color w:val="888888"/>
        </w:rPr>
        <w:t>[Image placeholder]</w:t>
      </w:r>
    </w:p>
    <w:p>
      <w:pPr>
        <w:spacing w:before="80" w:after="80"/>
        <w:shd w:fill="E8E8E8" w:val="clear"/>
      </w:pPr>
      <w:r>
        <w:rPr>
          <w:i/>
          <w:color w:val="444444"/>
          <w:sz w:val="18"/>
        </w:rPr>
        <w:t>Speaker Notes: Coverage tables and coverage terms</w:t>
        <w:br/>
        <w:t>For better performance, coverage terms are not stored in separate table. They are stored as columns in each coverage table. The coverage table defines the data entity that contains the coverages. Each type of coverage is applied to a coverable and coverage table.</w:t>
      </w:r>
    </w:p>
    <w:p>
      <w:pPr>
        <w:pStyle w:val="Heading3"/>
      </w:pPr>
      <w:r>
        <w:rPr>
          <w:sz w:val="24"/>
        </w:rPr>
        <w:t>Slide 7/22: (Untitled)</w:t>
      </w:r>
    </w:p>
    <w:p>
      <w:r>
        <w:rPr>
          <w:i/>
          <w:color w:val="888888"/>
        </w:rPr>
        <w:t>[Image placeholder]</w:t>
      </w:r>
    </w:p>
    <w:p>
      <w:pPr>
        <w:spacing w:before="80" w:after="80"/>
        <w:shd w:fill="E8E8E8" w:val="clear"/>
      </w:pPr>
      <w:r>
        <w:rPr>
          <w:i/>
          <w:color w:val="444444"/>
          <w:sz w:val="18"/>
        </w:rPr>
        <w:t>Speaker Notes: Coverage term columns</w:t>
        <w:br/>
        <w:t>Configuration developers need to know that there are several different types of coverage terms, each with a different datatype. For example, direct coverage terms are stored as decimal. Choice coverage terms, which includes option, package, and typekey, are stored as pattem codes- The Generic term type is stored based on their data type.</w:t>
        <w:br/>
        <w:br/>
        <w:t>Every coverage table has a set number of columns for each type of coverage term. For example, the CP Building coverage table, CPBuildingCov.eti, has three columns for direct coverage terms- When creating a coverage term pattern for a coverage pattern, specify the column where the coverage term values will be stored.  For example, when creating a direct coverage term pattern for a CP Building coverage pattem, specify if the value for the coverage term (not the pattern) is stored in the first direct coverage term column or the second direct coverage term column- Standard columns in the data dictionary are also visible in the table.</w:t>
        <w:br/>
        <w:br/>
        <w:t xml:space="preserve">For a single coverage, if the number of coverage terms of one type is more than the number of table columns available for that coverage term type, then extend the coverage table and add an additional column. For example, if a given CP building coverage needs four direct coverage terms, but there is no fourth column available so extend the table and add a new column for the fourth direct coverage term- </w:t>
        <w:br/>
        <w:br/>
        <w:t>Finally,</w:t>
        <w:br/>
        <w:t>define Generic coverage term types as custom values which must be a string, date andtime, or Boolean value. A date and time value isformatted as yyyy-MM- dd HH:mm:ss.SSS. Although you can use generic coverage terms for numeric values, Guidewire recommends that you use direct coverage terms instead.</w:t>
      </w:r>
    </w:p>
    <w:p>
      <w:pPr>
        <w:pStyle w:val="Heading3"/>
      </w:pPr>
      <w:r>
        <w:rPr>
          <w:sz w:val="24"/>
        </w:rPr>
        <w:t>Slide 8/22: (Untitled)</w:t>
      </w:r>
    </w:p>
    <w:p>
      <w:r>
        <w:rPr>
          <w:i/>
          <w:color w:val="888888"/>
        </w:rPr>
        <w:t>[Image placeholder]</w:t>
      </w:r>
    </w:p>
    <w:p>
      <w:pPr>
        <w:spacing w:before="80" w:after="80"/>
        <w:shd w:fill="E8E8E8" w:val="clear"/>
      </w:pPr>
      <w:r>
        <w:rPr>
          <w:i/>
          <w:color w:val="444444"/>
          <w:sz w:val="18"/>
        </w:rPr>
        <w:t>Speaker Notes: Mapping coverage terms to columns</w:t>
        <w:br/>
        <w:t>To map coverage terms to the table columns in the product model, use Product Designer to specify the column of the coverage table. The coverage term values are stored in PolicyCenter database in the specified column of the coverage table.</w:t>
      </w:r>
    </w:p>
    <w:p>
      <w:pPr>
        <w:pStyle w:val="Heading3"/>
      </w:pPr>
      <w:r>
        <w:rPr>
          <w:sz w:val="24"/>
        </w:rPr>
        <w:t>Slide 9/22: (Untitled)</w:t>
      </w:r>
    </w:p>
    <w:p>
      <w:r>
        <w:rPr>
          <w:i/>
          <w:color w:val="888888"/>
        </w:rPr>
        <w:t>[Image placeholder]</w:t>
      </w:r>
    </w:p>
    <w:p>
      <w:pPr>
        <w:pStyle w:val="Heading3"/>
      </w:pPr>
      <w:r>
        <w:rPr>
          <w:sz w:val="24"/>
        </w:rPr>
        <w:t>Slide 10/22: (Untitled)</w:t>
      </w:r>
    </w:p>
    <w:p>
      <w:pPr>
        <w:pStyle w:val="Heading3"/>
      </w:pPr>
      <w:r>
        <w:rPr>
          <w:sz w:val="24"/>
        </w:rPr>
        <w:t>Slide 11/22: (Untitled)</w:t>
      </w:r>
    </w:p>
    <w:p>
      <w:r>
        <w:rPr>
          <w:i/>
          <w:color w:val="888888"/>
        </w:rPr>
        <w:t>[Image placeholder]</w:t>
      </w:r>
    </w:p>
    <w:p>
      <w:pPr>
        <w:pStyle w:val="Heading3"/>
      </w:pPr>
      <w:r>
        <w:rPr>
          <w:sz w:val="24"/>
        </w:rPr>
        <w:t>Slide 12/22: (Untitled)</w:t>
      </w:r>
    </w:p>
    <w:p>
      <w:r>
        <w:rPr>
          <w:i/>
          <w:color w:val="888888"/>
        </w:rPr>
        <w:t>[Image placeholder]</w:t>
      </w:r>
    </w:p>
    <w:p>
      <w:pPr>
        <w:spacing w:before="80" w:after="80"/>
        <w:shd w:fill="E8E8E8" w:val="clear"/>
      </w:pPr>
      <w:r>
        <w:rPr>
          <w:i/>
          <w:color w:val="444444"/>
          <w:sz w:val="18"/>
        </w:rPr>
        <w:t>Speaker Notes: Generic Schedules</w:t>
        <w:br/>
        <w:t>Generic schedules are instances of schedules that are implemented by using the genericschedule data model. The schedules interact with a common set of Gosu classes, PCF pages, and entity interfaces. The generic schedule data model includes one set of entity types that have many columns. These columns are not inherently descriptive, but instead provide a generic way to store information.When configuring a new schedule, you use these generic columns and provide a description for them in the context of the schedule.</w:t>
        <w:br/>
        <w:br/>
        <w:t>Note: The old generic schedule class still works, but it is now deprecated.</w:t>
      </w:r>
    </w:p>
    <w:p>
      <w:pPr>
        <w:pStyle w:val="Heading3"/>
      </w:pPr>
      <w:r>
        <w:rPr>
          <w:sz w:val="24"/>
        </w:rPr>
        <w:t>Slide 13/22: (Untitled)</w:t>
      </w:r>
    </w:p>
    <w:p>
      <w:r>
        <w:rPr>
          <w:i/>
          <w:color w:val="888888"/>
        </w:rPr>
        <w:t>[Image placeholder]</w:t>
      </w:r>
    </w:p>
    <w:p>
      <w:pPr>
        <w:spacing w:before="80" w:after="80"/>
        <w:shd w:fill="E8E8E8" w:val="clear"/>
      </w:pPr>
      <w:r>
        <w:rPr>
          <w:i/>
          <w:color w:val="444444"/>
          <w:sz w:val="18"/>
        </w:rPr>
        <w:t>Speaker Notes: Types of schedules</w:t>
        <w:br/>
        <w:t>Scheduled items are the individual rows of a schedule.</w:t>
        <w:br/>
        <w:br/>
        <w:t>In the base configuration, the following lines use generic schedules:</w:t>
        <w:br/>
        <w:t>1) The Homeowners line includes both schedules and schedules with coverage terms. Implemented using product model XML and generic schedule data model.  Use homeowners as a model for adding generic schedules in other lines of business.</w:t>
        <w:br/>
        <w:t>2) The General liability line includes schedules. It is implemented using generic schedule data model but does not use product model XML. Do not use this as a model for adding generic schedules in other lines of business.</w:t>
      </w:r>
    </w:p>
    <w:p>
      <w:pPr>
        <w:pStyle w:val="Heading3"/>
      </w:pPr>
      <w:r>
        <w:rPr>
          <w:sz w:val="24"/>
        </w:rPr>
        <w:t>Slide 14/22: (Untitled)</w:t>
      </w:r>
    </w:p>
    <w:p>
      <w:r>
        <w:rPr>
          <w:i/>
          <w:color w:val="888888"/>
        </w:rPr>
        <w:t>[Image placeholder]</w:t>
      </w:r>
    </w:p>
    <w:p>
      <w:pPr>
        <w:spacing w:before="80" w:after="80"/>
        <w:shd w:fill="E8E8E8" w:val="clear"/>
      </w:pPr>
      <w:r>
        <w:rPr>
          <w:i/>
          <w:color w:val="444444"/>
          <w:sz w:val="18"/>
        </w:rPr>
        <w:t>Speaker Notes: Steps to add generic schedules to a line of business</w:t>
        <w:br/>
        <w:t>In Product Designer, add schedules to clauses including coverages, conditions and exclusions. This is illustrated in more details on the next slide.</w:t>
      </w:r>
    </w:p>
    <w:p>
      <w:pPr>
        <w:pStyle w:val="Heading3"/>
      </w:pPr>
      <w:r>
        <w:rPr>
          <w:sz w:val="24"/>
        </w:rPr>
        <w:t>Slide 15/22: (Untitled)</w:t>
      </w:r>
    </w:p>
    <w:p>
      <w:r>
        <w:rPr>
          <w:i/>
          <w:color w:val="888888"/>
        </w:rPr>
        <w:t>[Image placeholder]</w:t>
      </w:r>
    </w:p>
    <w:p>
      <w:pPr>
        <w:spacing w:before="80" w:after="80"/>
        <w:shd w:fill="E8E8E8" w:val="clear"/>
      </w:pPr>
      <w:r>
        <w:rPr>
          <w:i/>
          <w:color w:val="444444"/>
          <w:sz w:val="18"/>
        </w:rPr>
        <w:t>Speaker Notes: Configure generic schedules in Product Designer</w:t>
        <w:br/>
        <w:t>If the schedules do not have coverage terms, you only need to add a coverage for the schedules and configure the schedule properties for the scheduled items.</w:t>
        <w:br/>
        <w:br/>
        <w:t>The same steps of adding the scheduled coverages apply to conditions and exclusions.</w:t>
      </w:r>
    </w:p>
    <w:p>
      <w:pPr>
        <w:pStyle w:val="Heading3"/>
      </w:pPr>
      <w:r>
        <w:rPr>
          <w:sz w:val="24"/>
        </w:rPr>
        <w:t>Slide 16/22: (Untitled)</w:t>
      </w:r>
    </w:p>
    <w:p>
      <w:r>
        <w:rPr>
          <w:i/>
          <w:color w:val="888888"/>
        </w:rPr>
        <w:t>[Image placeholder]</w:t>
      </w:r>
    </w:p>
    <w:p>
      <w:pPr>
        <w:spacing w:before="80" w:after="80"/>
        <w:shd w:fill="E8E8E8" w:val="clear"/>
      </w:pPr>
      <w:r>
        <w:rPr>
          <w:i/>
          <w:color w:val="444444"/>
          <w:sz w:val="18"/>
        </w:rPr>
        <w:t>Speaker Notes: Configure generic schedules in Product Designer</w:t>
        <w:br/>
        <w:t>It is optional to add the scheduled item coverages for schedules with coverage terms.</w:t>
        <w:br/>
        <w:br/>
        <w:t>In the Homeowners policy line,</w:t>
        <w:br/>
        <w:t>Scheduled Personal Property(HOPScheduledPers onalProperty) is the schedule coverage that contains definitions of schedule properties for the scheduled items. It also has a link to the scheduled item coverage.</w:t>
        <w:br/>
        <w:t>Scheduled Personal Property Item (HOPScheduledPersonalProp ertyltem) is the scheduled item coverage used to capture the limit, deductible for each item.</w:t>
        <w:br/>
        <w:br/>
        <w:t>For more details about Generic Schedule Data Model and the user interface, refer to thePolicyCenter Configuration Guide.</w:t>
      </w:r>
    </w:p>
    <w:p>
      <w:pPr>
        <w:pStyle w:val="Heading3"/>
      </w:pPr>
      <w:r>
        <w:rPr>
          <w:sz w:val="24"/>
        </w:rPr>
        <w:t>Slide 17/22: (Untitled)</w:t>
      </w:r>
    </w:p>
    <w:p>
      <w:r>
        <w:rPr>
          <w:i/>
          <w:color w:val="888888"/>
        </w:rPr>
        <w:t>[Image placeholder]</w:t>
      </w:r>
    </w:p>
    <w:p>
      <w:pPr>
        <w:pStyle w:val="Heading3"/>
      </w:pPr>
      <w:r>
        <w:rPr>
          <w:sz w:val="24"/>
        </w:rPr>
        <w:t>Slide 18/22: (Untitled)</w:t>
      </w:r>
    </w:p>
    <w:p>
      <w:pPr>
        <w:pStyle w:val="Heading3"/>
      </w:pPr>
      <w:r>
        <w:rPr>
          <w:sz w:val="24"/>
        </w:rPr>
        <w:t>Slide 19/22: (Untitled)</w:t>
      </w:r>
    </w:p>
    <w:p>
      <w:r>
        <w:rPr>
          <w:i/>
          <w:color w:val="888888"/>
        </w:rPr>
        <w:t>[Image placeholder]</w:t>
      </w:r>
    </w:p>
    <w:p>
      <w:pPr>
        <w:pStyle w:val="Heading3"/>
      </w:pPr>
      <w:r>
        <w:rPr>
          <w:sz w:val="24"/>
        </w:rPr>
        <w:t>Slide 20/22: (Untitled)</w:t>
      </w:r>
    </w:p>
    <w:p>
      <w:r>
        <w:rPr>
          <w:i/>
          <w:color w:val="888888"/>
        </w:rPr>
        <w:t>[Image placeholder]</w:t>
      </w:r>
    </w:p>
    <w:p>
      <w:pPr>
        <w:pStyle w:val="Heading3"/>
      </w:pPr>
      <w:r>
        <w:rPr>
          <w:sz w:val="24"/>
        </w:rPr>
        <w:t>Slide 21/22: (Untitled)</w:t>
      </w:r>
    </w:p>
    <w:p>
      <w:r>
        <w:rPr>
          <w:i/>
          <w:color w:val="888888"/>
        </w:rPr>
        <w:t>[Image placeholder]</w:t>
      </w:r>
    </w:p>
    <w:p>
      <w:pPr>
        <w:pStyle w:val="Heading3"/>
      </w:pPr>
      <w:r>
        <w:rPr>
          <w:sz w:val="24"/>
        </w:rPr>
        <w:t>Slide 22/22: (Untitled)</w:t>
      </w:r>
    </w:p>
    <w:p>
      <w:r>
        <w:rPr>
          <w:i/>
          <w:color w:val="888888"/>
        </w:rPr>
        <w:t>[Image placeholder]</w:t>
      </w:r>
    </w:p>
    <w:p>
      <w:pPr>
        <w:pStyle w:val="Heading2"/>
      </w:pPr>
      <w:r>
        <w:t>Assignment</w:t>
      </w:r>
    </w:p>
    <w:p>
      <w:r>
        <w:rPr>
          <w:b/>
          <w:color w:val="008800"/>
        </w:rPr>
        <w:t>[Assignment 18]: 18_Coverage Terms</w:t>
      </w:r>
    </w:p>
    <w:p>
      <w:r>
        <w:rPr>
          <w:i/>
          <w:sz w:val="18"/>
        </w:rPr>
        <w:t>File: 18_Coverage Terms.pdf</w:t>
      </w:r>
    </w:p>
    <w:p/>
    <w:p>
      <w:pPr>
        <w:spacing w:before="240"/>
        <w:jc w:val="center"/>
      </w:pPr>
      <w:r>
        <w:rPr>
          <w:i/>
          <w:color w:val="999999"/>
          <w:sz w:val="16"/>
        </w:rPr>
        <w:t>--- End of Lesson 18: Coverage Terms | 22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