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20: Questions sets and Offerings</w:t>
      </w:r>
    </w:p>
    <w:p>
      <w:pPr>
        <w:spacing w:after="40"/>
      </w:pPr>
      <w:r>
        <w:rPr>
          <w:i/>
          <w:color w:val="999999"/>
          <w:sz w:val="16"/>
        </w:rPr>
        <w:t>Source: In_policy_21 Questions sets and Offerings.pptx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spacing w:before="80" w:after="80"/>
        <w:shd w:fill="E8E8E8" w:val="clear"/>
      </w:pPr>
      <w:r>
        <w:rPr>
          <w:i/>
          <w:color w:val="444444"/>
          <w:sz w:val="18"/>
        </w:rPr>
        <w:t>Speaker Notes: Question sets (I of 3)</w:t>
        <w:br/>
        <w:t>Question sets are used to determine whether a person qualifies for a particular product,  either right before they enter the wizard or through accumulated information indicating an unacceptably large level of risk that is not tied to a single issue. A question set gives you a way to determine to whom to market a product, and a way to collect underwriting information that is not pertinent to the rating process.</w:t>
        <w:br/>
        <w:br/>
        <w:t>Question sets are linked to the Product in the product model. Questions are not reusable across question sets. If you want the same question asked in two different question sets, you need to create the questions two times. However, question sets can be associated with multiple products. If there are several questions you want to ask for more than one product, you could put those questions in a single question set and then associate that question set with each product.</w:t>
      </w:r>
    </w:p>
    <w:p>
      <w:pPr>
        <w:pStyle w:val="Heading3"/>
      </w:pPr>
      <w:r>
        <w:rPr>
          <w:sz w:val="24"/>
        </w:rPr>
        <w:t>Slide 5/25: (Untitled)</w:t>
      </w:r>
    </w:p>
    <w:p>
      <w:r>
        <w:rPr>
          <w:i/>
          <w:color w:val="888888"/>
        </w:rPr>
        <w:t>[Image placeholder]</w:t>
      </w:r>
    </w:p>
    <w:p>
      <w:pPr>
        <w:spacing w:before="80" w:after="80"/>
        <w:shd w:fill="E8E8E8" w:val="clear"/>
      </w:pPr>
      <w:r>
        <w:rPr>
          <w:i/>
          <w:color w:val="444444"/>
          <w:sz w:val="18"/>
        </w:rPr>
        <w:t>Speaker Notes: Question sets (2 of 3)</w:t>
        <w:br/>
        <w:t>Question sets are not suitable for rating or integrations, nor are they suitable for capturing detailed information about a specific object, such as a vehicle or building. Question sets arebest used for underwriting applications. Do not use Question sets to collect information about coverables or anything related directly to rating.</w:t>
        <w:br/>
        <w:br/>
        <w:t>If you are handling data that will be used in the rating process, consider using modifiers as an alternative to question sets. If you are handling data related to specific objects, such as automobiles or buildings, then use datamodel fields to accommodate the requirement.</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Question sets (3 of 3)</w:t>
        <w:br/>
        <w:t>The primary use of a question set is to evaluate risk. This information is not used for rating,  or as data to pass on to other systems. The base configuration uses pre-qualification question sets exclusively in submission transactions. However, question sets can collect information at different points during policy processing, for example,  questions for locations.</w:t>
      </w:r>
    </w:p>
    <w:p>
      <w:pPr>
        <w:pStyle w:val="Heading3"/>
      </w:pPr>
      <w:r>
        <w:rPr>
          <w:sz w:val="24"/>
        </w:rPr>
        <w:t>Slide 7/25: (Untitled)</w:t>
      </w:r>
    </w:p>
    <w:p>
      <w:r>
        <w:rPr>
          <w:i/>
          <w:color w:val="888888"/>
        </w:rPr>
        <w:t>[Image placeholder]</w:t>
      </w:r>
    </w:p>
    <w:p>
      <w:pPr>
        <w:pStyle w:val="Heading3"/>
      </w:pPr>
      <w:r>
        <w:rPr>
          <w:sz w:val="24"/>
        </w:rPr>
        <w:t>Slide 8/25: (Untitled)</w:t>
      </w:r>
    </w:p>
    <w:p>
      <w:pPr>
        <w:pStyle w:val="Heading3"/>
      </w:pPr>
      <w:r>
        <w:rPr>
          <w:sz w:val="24"/>
        </w:rPr>
        <w:t>Slide 9/25: (Untitled)</w:t>
      </w:r>
    </w:p>
    <w:p>
      <w:r>
        <w:rPr>
          <w:i/>
          <w:color w:val="888888"/>
        </w:rPr>
        <w:t>[Image placeholder]</w:t>
      </w:r>
    </w:p>
    <w:p>
      <w:pPr>
        <w:pStyle w:val="Heading3"/>
      </w:pPr>
      <w:r>
        <w:rPr>
          <w:sz w:val="24"/>
        </w:rPr>
        <w:t>Slide 10/25: (Untitled)</w:t>
      </w:r>
    </w:p>
    <w:p>
      <w:pPr>
        <w:pStyle w:val="Heading3"/>
      </w:pPr>
      <w:r>
        <w:rPr>
          <w:sz w:val="24"/>
        </w:rPr>
        <w:t>Slide 11/25: (Untitled)</w:t>
      </w:r>
    </w:p>
    <w:p>
      <w:r>
        <w:rPr>
          <w:i/>
          <w:color w:val="888888"/>
        </w:rPr>
        <w:t>[Image placeholder]</w:t>
      </w:r>
    </w:p>
    <w:p>
      <w:pPr>
        <w:pStyle w:val="Heading3"/>
      </w:pPr>
      <w:r>
        <w:rPr>
          <w:sz w:val="24"/>
        </w:rPr>
        <w:t>Slide 12/25: (Untitled)</w:t>
      </w:r>
    </w:p>
    <w:p>
      <w:r>
        <w:rPr>
          <w:i/>
          <w:color w:val="888888"/>
        </w:rPr>
        <w:t>[Image placeholder]</w:t>
      </w:r>
    </w:p>
    <w:p>
      <w:pPr>
        <w:spacing w:before="80" w:after="80"/>
        <w:shd w:fill="E8E8E8" w:val="clear"/>
      </w:pPr>
      <w:r>
        <w:rPr>
          <w:i/>
          <w:color w:val="444444"/>
          <w:sz w:val="18"/>
        </w:rPr>
        <w:t>Speaker Notes: Offerings</w:t>
        <w:br/>
        <w:t>Insurers want to be able to create offerings quickly, often based on a similar pre-existing product. PolicyCenter provides the tools to quickly and easily create offerings based on an existing product definitiom You start with the base product definition, and then tailor it to define a specific offering. The offerings allow customers to modify default values for coverages, coverage terms. It is possible to switch between different offerings within a given product, between different products is not possible.</w:t>
        <w:br/>
        <w:br/>
        <w:t xml:space="preserve"> In the base configuration, the following products provide offerings:</w:t>
        <w:br/>
        <w:t>Businessowners</w:t>
        <w:br/>
        <w:t>Commercial Auto</w:t>
        <w:br/>
        <w:t>Commercial Package</w:t>
        <w:br/>
        <w:t>General Liability</w:t>
        <w:br/>
        <w:t>Personal Auto</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Offerings in PolicyCenter</w:t>
        <w:br/>
        <w:t>An offering is the first step in the submission process inPolicyCenter. The process of creating a policy will begin with the user selecting an offering. If the user selects another offering,  he will see any associated prequalification questions on the Qualification screen. These work the same way as question sets at the product level they might disqualify him from a particular offering, and/or influence rating.  Offerings can change what appears for a coverage and other pages within the submission. If you do not define a specific Offering in the product model, then the offering is set to the PolicyLine-specific setting.</w:t>
      </w:r>
    </w:p>
    <w:p>
      <w:pPr>
        <w:pStyle w:val="Heading3"/>
      </w:pPr>
      <w:r>
        <w:rPr>
          <w:sz w:val="24"/>
        </w:rPr>
        <w:t>Slide 14/25: (Untitled)</w:t>
      </w:r>
    </w:p>
    <w:p>
      <w:r>
        <w:rPr>
          <w:i/>
          <w:color w:val="888888"/>
        </w:rPr>
        <w:t>[Image placeholder]</w:t>
      </w:r>
    </w:p>
    <w:p>
      <w:pPr>
        <w:spacing w:before="80" w:after="80"/>
        <w:shd w:fill="E8E8E8" w:val="clear"/>
      </w:pPr>
      <w:r>
        <w:rPr>
          <w:i/>
          <w:color w:val="444444"/>
          <w:sz w:val="18"/>
        </w:rPr>
        <w:t>Speaker Notes: When to use Offerings</w:t>
        <w:br/>
        <w:t>One example of a marketing program is a version of BOP that is pre-defined for a franchise. Another example is a targeted commercial auto product offering only a limited number of options for local delivery companies. The appropriate program could be dependent upon information collected during the submission process itself.</w:t>
        <w:br/>
        <w:br/>
        <w:t>In the US, regulatory bodies are often oblivious to marketing programs, as long as there is noevidence that discriminatory practices are being used to assign programs to insureds. Regulatory bodies are interested in the filed rates, forms, andunderwriting rules, but these are not typically unique to a particular program.</w:t>
        <w:br/>
        <w:br/>
        <w:t>In Canada, programs might be referred to as "packaged policies"or as "programs". The distinction is that packaged policies are targeting a particular risk profile,  while a program would be intended for a particular broker or for policies within a large corporate account. In Canada, there is a greater possibility that rating and forms might be unique to the program used, such as a discount being applied for a particular program. It remainstrue, however, that regulators are</w:t>
        <w:br/>
        <w:t>typically not interested in programs or packaged policies.</w:t>
      </w:r>
    </w:p>
    <w:p>
      <w:pPr>
        <w:pStyle w:val="Heading3"/>
      </w:pPr>
      <w:r>
        <w:rPr>
          <w:sz w:val="24"/>
        </w:rPr>
        <w:t>Slide 15/25: (Untitled)</w:t>
      </w:r>
    </w:p>
    <w:p>
      <w:r>
        <w:rPr>
          <w:i/>
          <w:color w:val="888888"/>
        </w:rPr>
        <w:t>[Image placeholder]</w:t>
      </w:r>
    </w:p>
    <w:p>
      <w:pPr>
        <w:spacing w:before="80" w:after="80"/>
        <w:shd w:fill="E8E8E8" w:val="clear"/>
      </w:pPr>
      <w:r>
        <w:rPr>
          <w:i/>
          <w:color w:val="444444"/>
          <w:sz w:val="18"/>
        </w:rPr>
        <w:t>Speaker Notes: Offerings and Availability</w:t>
        <w:br/>
        <w:t>Because offerings are built on top of the product model, they inherit all the capabilities of the product model. In particular, you apply the availability of all product model entities before you calculate the contents of the offering- Whether a given coverage appears to the user depends both on the availability of the coverage as defined by the product model, as well as by the inclusion of the coverage in the offering.</w:t>
        <w:br/>
        <w:br/>
        <w:t>An offering can be made available based on the above factors. Users can use offerings for the following use cases too:</w:t>
        <w:br/>
        <w:t>Business-specific products: An insurer offers a business program that consists of a set of common coverages- The insurer offers specialized products based on this business program. These specialized products are offered to retailers, autoshops, and the hospitality industry, among others. These specialized products offer coverage levels appropriate for each business type. Affinity groups: Some insurers write policies that are based on a group membership of the insured. These affinity group policies offer a subset of the available coverages, group-specific default values, and possibly group-specific  value choices for the coverage terms. Often the policy is subject to a special rate agreement, and so must obey various restrictions on the coverages and terms offered.</w:t>
        <w:br/>
        <w:t>Programs or tiers of coverages: This is similar in concept to the affinity group. The classic example is Bronze, Silver,  and Gold programs,  where the user can choose increasing levels of coverage at increasing cost. Programs can also offer different coverages- An analogous case in commercial insurance is the creation of products for a particular industry, business profile, or franchisee.</w:t>
      </w:r>
    </w:p>
    <w:p>
      <w:pPr>
        <w:pStyle w:val="Heading3"/>
      </w:pPr>
      <w:r>
        <w:rPr>
          <w:sz w:val="24"/>
        </w:rPr>
        <w:t>Slide 16/25: (Untitled)</w:t>
      </w:r>
    </w:p>
    <w:p>
      <w:r>
        <w:rPr>
          <w:i/>
          <w:color w:val="888888"/>
        </w:rPr>
        <w:t>[Image placeholder]</w:t>
      </w:r>
    </w:p>
    <w:p>
      <w:pPr>
        <w:pStyle w:val="Heading3"/>
      </w:pPr>
      <w:r>
        <w:rPr>
          <w:sz w:val="24"/>
        </w:rPr>
        <w:t>Slide 17/25: (Untitled)</w:t>
      </w:r>
    </w:p>
    <w:p>
      <w:pPr>
        <w:pStyle w:val="Heading3"/>
      </w:pPr>
      <w:r>
        <w:rPr>
          <w:sz w:val="24"/>
        </w:rPr>
        <w:t>Slide 18/25: (Untitled)</w:t>
      </w:r>
    </w:p>
    <w:p>
      <w:r>
        <w:rPr>
          <w:i/>
          <w:color w:val="888888"/>
        </w:rPr>
        <w:t>[Image placeholder]</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20]: 20_Question Sets and Offerings</w:t>
      </w:r>
    </w:p>
    <w:p>
      <w:r>
        <w:rPr>
          <w:i/>
          <w:sz w:val="18"/>
        </w:rPr>
        <w:t>File: 20_Question Sets and Offerings.pdf</w:t>
      </w:r>
    </w:p>
    <w:p/>
    <w:p>
      <w:pPr>
        <w:spacing w:before="240"/>
        <w:jc w:val="center"/>
      </w:pPr>
      <w:r>
        <w:rPr>
          <w:i/>
          <w:color w:val="999999"/>
          <w:sz w:val="16"/>
        </w:rPr>
        <w:t>--- End of Lesson 20: Questions sets and Offerings | 25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