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04: PolicyCenter Introduction</w:t>
      </w:r>
    </w:p>
    <w:p>
      <w:pPr>
        <w:pStyle w:val="Heading2"/>
      </w:pPr>
      <w:r>
        <w:rPr>
          <w:color w:val="333333"/>
          <w:sz w:val="28"/>
        </w:rPr>
        <w:t>Lesson 21: Modifiers</w:t>
      </w:r>
    </w:p>
    <w:p>
      <w:pPr>
        <w:spacing w:after="40"/>
      </w:pPr>
      <w:r>
        <w:rPr>
          <w:i/>
          <w:color w:val="999999"/>
          <w:sz w:val="16"/>
        </w:rPr>
        <w:t>Source: In_policy_22 Modifiers.pptx</w:t>
      </w:r>
    </w:p>
    <w:p>
      <w:pPr>
        <w:pStyle w:val="Heading3"/>
      </w:pPr>
      <w:r>
        <w:t>Video References</w:t>
      </w:r>
    </w:p>
    <w:p>
      <w:pPr>
        <w:pStyle w:val="ListNumber"/>
      </w:pPr>
      <w:r>
        <w:rPr>
          <w:color w:val="0066CC"/>
          <w:sz w:val="20"/>
        </w:rPr>
        <w:t>[Video 1: In_Policy_07_01.mp4]</w:t>
      </w:r>
    </w:p>
    <w:p>
      <w:pPr>
        <w:pStyle w:val="ListNumber"/>
      </w:pPr>
      <w:r>
        <w:rPr>
          <w:color w:val="0066CC"/>
          <w:sz w:val="20"/>
        </w:rPr>
        <w:t>[Video 2: In_Policy_08_01.mp4]</w:t>
      </w:r>
    </w:p>
    <w:p>
      <w:pPr>
        <w:pStyle w:val="ListNumber"/>
      </w:pPr>
      <w:r>
        <w:rPr>
          <w:color w:val="0066CC"/>
          <w:sz w:val="20"/>
        </w:rPr>
        <w:t>[Video 3: In_Policy_08_02.mp4]</w:t>
      </w:r>
    </w:p>
    <w:p>
      <w:pPr>
        <w:pStyle w:val="ListNumber"/>
      </w:pPr>
      <w:r>
        <w:rPr>
          <w:color w:val="0066CC"/>
          <w:sz w:val="20"/>
        </w:rPr>
        <w:t>[Video 4: In_Policy_09_01.mp4]</w:t>
      </w:r>
    </w:p>
    <w:p>
      <w:pPr>
        <w:pStyle w:val="ListNumber"/>
      </w:pPr>
      <w:r>
        <w:rPr>
          <w:color w:val="0066CC"/>
          <w:sz w:val="20"/>
        </w:rPr>
        <w:t>[Video 5: In_Policy_09_02.mp4]</w:t>
      </w:r>
    </w:p>
    <w:p>
      <w:pPr>
        <w:pStyle w:val="ListNumber"/>
      </w:pPr>
      <w:r>
        <w:rPr>
          <w:color w:val="0066CC"/>
          <w:sz w:val="20"/>
        </w:rPr>
        <w:t>[Video 6: In_Policy_09_03.mp4]</w:t>
      </w:r>
    </w:p>
    <w:p>
      <w:pPr>
        <w:pStyle w:val="ListNumber"/>
      </w:pPr>
      <w:r>
        <w:rPr>
          <w:color w:val="0066CC"/>
          <w:sz w:val="20"/>
        </w:rPr>
        <w:t>[Video 7: In_Policy_10_01.mp4]</w:t>
      </w:r>
    </w:p>
    <w:p>
      <w:pPr>
        <w:pStyle w:val="ListNumber"/>
      </w:pPr>
      <w:r>
        <w:rPr>
          <w:color w:val="0066CC"/>
          <w:sz w:val="20"/>
        </w:rPr>
        <w:t>[Video 8: In_Policy_10_02.mp4]</w:t>
      </w:r>
    </w:p>
    <w:p>
      <w:pPr>
        <w:pStyle w:val="ListNumber"/>
      </w:pPr>
      <w:r>
        <w:rPr>
          <w:color w:val="0066CC"/>
          <w:sz w:val="20"/>
        </w:rPr>
        <w:t>[Video 9: In_Policy_11_01.mp4]</w:t>
      </w:r>
    </w:p>
    <w:p>
      <w:pPr>
        <w:pStyle w:val="ListNumber"/>
      </w:pPr>
      <w:r>
        <w:rPr>
          <w:color w:val="0066CC"/>
          <w:sz w:val="20"/>
        </w:rPr>
        <w:t>[Video 10: In_Policy_12_01.mp4]</w:t>
      </w:r>
    </w:p>
    <w:p>
      <w:pPr>
        <w:pStyle w:val="ListNumber"/>
      </w:pPr>
      <w:r>
        <w:rPr>
          <w:color w:val="0066CC"/>
          <w:sz w:val="20"/>
        </w:rPr>
        <w:t>[Video 11: In_Policy_13_01.mp4]</w:t>
      </w:r>
    </w:p>
    <w:p>
      <w:pPr>
        <w:pStyle w:val="ListNumber"/>
      </w:pPr>
      <w:r>
        <w:rPr>
          <w:color w:val="0066CC"/>
          <w:sz w:val="20"/>
        </w:rPr>
        <w:t>[Video 12: In_Policy_13_02.mp4]</w:t>
      </w:r>
    </w:p>
    <w:p>
      <w:pPr>
        <w:pStyle w:val="ListNumber"/>
      </w:pPr>
      <w:r>
        <w:rPr>
          <w:color w:val="0066CC"/>
          <w:sz w:val="20"/>
        </w:rPr>
        <w:t>[Video 13: In_Policy_13_03.mp4]</w:t>
      </w:r>
    </w:p>
    <w:p>
      <w:pPr>
        <w:pStyle w:val="ListNumber"/>
      </w:pPr>
      <w:r>
        <w:rPr>
          <w:color w:val="0066CC"/>
          <w:sz w:val="20"/>
        </w:rPr>
        <w:t>[Video 14: In_Policy_14_01.mp4]</w:t>
      </w:r>
    </w:p>
    <w:p>
      <w:pPr>
        <w:pStyle w:val="ListNumber"/>
      </w:pPr>
      <w:r>
        <w:rPr>
          <w:color w:val="0066CC"/>
          <w:sz w:val="20"/>
        </w:rPr>
        <w:t>[Video 15: In_Policy_15_01.mp4]</w:t>
      </w:r>
    </w:p>
    <w:p>
      <w:pPr>
        <w:pStyle w:val="ListNumber"/>
      </w:pPr>
      <w:r>
        <w:rPr>
          <w:color w:val="0066CC"/>
          <w:sz w:val="20"/>
        </w:rPr>
        <w:t>[Video 16: In_Policy_16_01.mp4]</w:t>
      </w:r>
    </w:p>
    <w:p>
      <w:pPr>
        <w:pStyle w:val="ListNumber"/>
      </w:pPr>
      <w:r>
        <w:rPr>
          <w:color w:val="0066CC"/>
          <w:sz w:val="20"/>
        </w:rPr>
        <w:t>[Video 17: In_Policy_16_02.mp4]</w:t>
      </w:r>
    </w:p>
    <w:p>
      <w:pPr>
        <w:pStyle w:val="ListNumber"/>
      </w:pPr>
      <w:r>
        <w:rPr>
          <w:color w:val="0066CC"/>
          <w:sz w:val="20"/>
        </w:rPr>
        <w:t>[Video 18: In_Policy_16_03.mp4]</w:t>
      </w:r>
    </w:p>
    <w:p>
      <w:pPr>
        <w:pStyle w:val="ListNumber"/>
      </w:pPr>
      <w:r>
        <w:rPr>
          <w:color w:val="0066CC"/>
          <w:sz w:val="20"/>
        </w:rPr>
        <w:t>[Video 19: In_Policy_17_01.mp4]</w:t>
      </w:r>
    </w:p>
    <w:p>
      <w:pPr>
        <w:pStyle w:val="ListNumber"/>
      </w:pPr>
      <w:r>
        <w:rPr>
          <w:color w:val="0066CC"/>
          <w:sz w:val="20"/>
        </w:rPr>
        <w:t>[Video 20: In_Policy_17_02.mp4]</w:t>
      </w:r>
    </w:p>
    <w:p>
      <w:pPr>
        <w:pStyle w:val="ListNumber"/>
      </w:pPr>
      <w:r>
        <w:rPr>
          <w:color w:val="0066CC"/>
          <w:sz w:val="20"/>
        </w:rPr>
        <w:t>[Video 21: In_Policy_18_01.mp4]</w:t>
      </w:r>
    </w:p>
    <w:p>
      <w:pPr>
        <w:pStyle w:val="ListNumber"/>
      </w:pPr>
      <w:r>
        <w:rPr>
          <w:color w:val="0066CC"/>
          <w:sz w:val="20"/>
        </w:rPr>
        <w:t>[Video 22: In_Policy_19_01.mp4]</w:t>
      </w:r>
    </w:p>
    <w:p>
      <w:pPr>
        <w:pStyle w:val="ListNumber"/>
      </w:pPr>
      <w:r>
        <w:rPr>
          <w:color w:val="0066CC"/>
          <w:sz w:val="20"/>
        </w:rPr>
        <w:t>[Video 23: In_Policy_19_02 .mp4]</w:t>
      </w:r>
    </w:p>
    <w:p>
      <w:pPr>
        <w:pStyle w:val="ListNumber"/>
      </w:pPr>
      <w:r>
        <w:rPr>
          <w:color w:val="0066CC"/>
          <w:sz w:val="20"/>
        </w:rPr>
        <w:t>[Video 24: In_Policy_20_01.mp4]</w:t>
      </w:r>
    </w:p>
    <w:p>
      <w:pPr>
        <w:pStyle w:val="ListNumber"/>
      </w:pPr>
      <w:r>
        <w:rPr>
          <w:color w:val="0066CC"/>
          <w:sz w:val="20"/>
        </w:rPr>
        <w:t>[Video 25: In_Policy_21_01.mp4]</w:t>
      </w:r>
    </w:p>
    <w:p>
      <w:pPr>
        <w:pStyle w:val="ListNumber"/>
      </w:pPr>
      <w:r>
        <w:rPr>
          <w:color w:val="0066CC"/>
          <w:sz w:val="20"/>
        </w:rPr>
        <w:t>[Video 26: In_Policy_21_02.mp4]</w:t>
      </w:r>
    </w:p>
    <w:p>
      <w:pPr>
        <w:pStyle w:val="ListNumber"/>
      </w:pPr>
      <w:r>
        <w:rPr>
          <w:color w:val="0066CC"/>
          <w:sz w:val="20"/>
        </w:rPr>
        <w:t>[Video 27: In_Policy_21_03.mp4]</w:t>
      </w:r>
    </w:p>
    <w:p>
      <w:pPr>
        <w:pStyle w:val="ListNumber"/>
      </w:pPr>
      <w:r>
        <w:rPr>
          <w:color w:val="0066CC"/>
          <w:sz w:val="20"/>
        </w:rPr>
        <w:t>[Video 28: In_Policy_22_01.mp4]</w:t>
      </w:r>
    </w:p>
    <w:p>
      <w:pPr>
        <w:pStyle w:val="ListNumber"/>
      </w:pPr>
      <w:r>
        <w:rPr>
          <w:color w:val="0066CC"/>
          <w:sz w:val="20"/>
        </w:rPr>
        <w:t>[Video 29: In_Policy_23_01.mp4]</w:t>
      </w:r>
    </w:p>
    <w:p>
      <w:pPr>
        <w:pStyle w:val="ListNumber"/>
      </w:pPr>
      <w:r>
        <w:rPr>
          <w:color w:val="0066CC"/>
          <w:sz w:val="20"/>
        </w:rPr>
        <w:t>[Video 30: In_Policy_24_01.mp4]</w:t>
      </w:r>
    </w:p>
    <w:p>
      <w:pPr>
        <w:pStyle w:val="ListNumber"/>
      </w:pPr>
      <w:r>
        <w:rPr>
          <w:color w:val="0066CC"/>
          <w:sz w:val="20"/>
        </w:rPr>
        <w:t>[Video 31: In_Policy_24_02.mp4]</w:t>
      </w:r>
    </w:p>
    <w:p>
      <w:pPr>
        <w:pStyle w:val="ListNumber"/>
      </w:pPr>
      <w:r>
        <w:rPr>
          <w:color w:val="0066CC"/>
          <w:sz w:val="20"/>
        </w:rPr>
        <w:t>[Video 32: In_Policy_25_01.mp4]</w:t>
      </w:r>
    </w:p>
    <w:p>
      <w:pPr>
        <w:pStyle w:val="ListNumber"/>
      </w:pPr>
      <w:r>
        <w:rPr>
          <w:color w:val="0066CC"/>
          <w:sz w:val="20"/>
        </w:rPr>
        <w:t>[Video 33: In_Policy_26_01.mp4]</w:t>
      </w:r>
    </w:p>
    <w:p>
      <w:pPr>
        <w:pStyle w:val="ListNumber"/>
      </w:pPr>
      <w:r>
        <w:rPr>
          <w:color w:val="0066CC"/>
          <w:sz w:val="20"/>
        </w:rPr>
        <w:t>[Video 34: In_Policy_27_01.mp4]</w:t>
      </w:r>
    </w:p>
    <w:p>
      <w:pPr>
        <w:pStyle w:val="ListNumber"/>
      </w:pPr>
      <w:r>
        <w:rPr>
          <w:color w:val="0066CC"/>
          <w:sz w:val="20"/>
        </w:rPr>
        <w:t>[Video 35: In_Policy_28_01.mp4]</w:t>
      </w:r>
    </w:p>
    <w:p>
      <w:pPr>
        <w:pStyle w:val="ListNumber"/>
      </w:pPr>
      <w:r>
        <w:rPr>
          <w:color w:val="0066CC"/>
          <w:sz w:val="20"/>
        </w:rPr>
        <w:t>[Video 36: In_Policy_28_02.mp4]</w:t>
      </w:r>
    </w:p>
    <w:p>
      <w:pPr>
        <w:pStyle w:val="ListNumber"/>
      </w:pPr>
      <w:r>
        <w:rPr>
          <w:color w:val="0066CC"/>
          <w:sz w:val="20"/>
        </w:rPr>
        <w:t>[Video 37: In_Policy_29_01.mp4]</w:t>
      </w:r>
    </w:p>
    <w:p>
      <w:pPr>
        <w:pStyle w:val="ListNumber"/>
      </w:pPr>
      <w:r>
        <w:rPr>
          <w:color w:val="0066CC"/>
          <w:sz w:val="20"/>
        </w:rPr>
        <w:t>[Video 38: In_Policy_30_01.mp4]</w:t>
      </w:r>
    </w:p>
    <w:p>
      <w:pPr>
        <w:pStyle w:val="ListNumber"/>
      </w:pPr>
      <w:r>
        <w:rPr>
          <w:color w:val="0066CC"/>
          <w:sz w:val="20"/>
        </w:rPr>
        <w:t>[Video 39: In_policy_01_01.mp4]</w:t>
      </w:r>
    </w:p>
    <w:p>
      <w:pPr>
        <w:pStyle w:val="ListNumber"/>
      </w:pPr>
      <w:r>
        <w:rPr>
          <w:color w:val="0066CC"/>
          <w:sz w:val="20"/>
        </w:rPr>
        <w:t>[Video 40: In_policy_01_02.mp4]</w:t>
      </w:r>
    </w:p>
    <w:p>
      <w:pPr>
        <w:pStyle w:val="ListNumber"/>
      </w:pPr>
      <w:r>
        <w:rPr>
          <w:color w:val="0066CC"/>
          <w:sz w:val="20"/>
        </w:rPr>
        <w:t>[Video 41: In_policy_03_01.mp4]</w:t>
      </w:r>
    </w:p>
    <w:p>
      <w:pPr>
        <w:pStyle w:val="ListNumber"/>
      </w:pPr>
      <w:r>
        <w:rPr>
          <w:color w:val="0066CC"/>
          <w:sz w:val="20"/>
        </w:rPr>
        <w:t>[Video 42: In_policy_03_02.mp4]</w:t>
      </w:r>
    </w:p>
    <w:p>
      <w:pPr>
        <w:pStyle w:val="ListNumber"/>
      </w:pPr>
      <w:r>
        <w:rPr>
          <w:color w:val="0066CC"/>
          <w:sz w:val="20"/>
        </w:rPr>
        <w:t>[Video 43: In_policy_06_01.mp4]</w:t>
      </w:r>
    </w:p>
    <w:p>
      <w:pPr>
        <w:pStyle w:val="ListNumber"/>
      </w:pPr>
      <w:r>
        <w:rPr>
          <w:color w:val="0066CC"/>
          <w:sz w:val="20"/>
        </w:rPr>
        <w:t>[Video 44: In_policy_06_02.mp4]</w:t>
      </w:r>
    </w:p>
    <w:p>
      <w:pPr>
        <w:pStyle w:val="ListNumber"/>
      </w:pPr>
      <w:r>
        <w:rPr>
          <w:color w:val="0066CC"/>
          <w:sz w:val="20"/>
        </w:rPr>
        <w:t>[Video 45: In_policy_06_03.mp4]</w:t>
      </w:r>
    </w:p>
    <w:p>
      <w:pPr>
        <w:pStyle w:val="ListNumber"/>
      </w:pPr>
      <w:r>
        <w:rPr>
          <w:color w:val="0066CC"/>
          <w:sz w:val="20"/>
        </w:rPr>
        <w:t>[Video 46: In_policy_06_04.mp4]</w:t>
      </w:r>
    </w:p>
    <w:p>
      <w:pPr>
        <w:pStyle w:val="ListNumber"/>
      </w:pPr>
      <w:r>
        <w:rPr>
          <w:color w:val="0066CC"/>
          <w:sz w:val="20"/>
        </w:rPr>
        <w:t>[Video 47: In_policy_06_05.mp4]</w:t>
      </w:r>
    </w:p>
    <w:p/>
    <w:p>
      <w:pPr>
        <w:pStyle w:val="Heading2"/>
      </w:pPr>
      <w:r>
        <w:t>Slide Content</w:t>
      </w:r>
    </w:p>
    <w:p>
      <w:pPr>
        <w:pStyle w:val="Heading3"/>
      </w:pPr>
      <w:r>
        <w:rPr>
          <w:sz w:val="24"/>
        </w:rPr>
        <w:t>Slide 1/16: (Untitled)</w:t>
      </w:r>
    </w:p>
    <w:p>
      <w:r>
        <w:rPr>
          <w:i/>
          <w:color w:val="888888"/>
        </w:rPr>
        <w:t>[Image placeholder]</w:t>
      </w:r>
    </w:p>
    <w:p>
      <w:pPr>
        <w:pStyle w:val="Heading3"/>
      </w:pPr>
      <w:r>
        <w:rPr>
          <w:sz w:val="24"/>
        </w:rPr>
        <w:t>Slide 2/16: (Untitled)</w:t>
      </w:r>
    </w:p>
    <w:p>
      <w:r>
        <w:rPr>
          <w:i/>
          <w:color w:val="888888"/>
        </w:rPr>
        <w:t>[Image placeholder]</w:t>
      </w:r>
    </w:p>
    <w:p>
      <w:pPr>
        <w:pStyle w:val="Heading3"/>
      </w:pPr>
      <w:r>
        <w:rPr>
          <w:sz w:val="24"/>
        </w:rPr>
        <w:t>Slide 3/16: (Untitled)</w:t>
      </w:r>
    </w:p>
    <w:p>
      <w:r>
        <w:rPr>
          <w:i/>
          <w:color w:val="888888"/>
        </w:rPr>
        <w:t>[Image placeholder]</w:t>
      </w:r>
    </w:p>
    <w:p>
      <w:pPr>
        <w:pStyle w:val="Heading3"/>
      </w:pPr>
      <w:r>
        <w:rPr>
          <w:sz w:val="24"/>
        </w:rPr>
        <w:t>Slide 4/16: (Untitled)</w:t>
      </w:r>
    </w:p>
    <w:p>
      <w:r>
        <w:rPr>
          <w:i/>
          <w:color w:val="888888"/>
        </w:rPr>
        <w:t>[Image placeholder]</w:t>
      </w:r>
    </w:p>
    <w:p>
      <w:pPr>
        <w:spacing w:before="80" w:after="80"/>
        <w:shd w:fill="E8E8E8" w:val="clear"/>
      </w:pPr>
      <w:r>
        <w:rPr>
          <w:i/>
          <w:color w:val="444444"/>
          <w:sz w:val="18"/>
        </w:rPr>
        <w:t>Speaker Notes: Rate modifier</w:t>
        <w:br/>
        <w:t>Modifiers added to the product affect rating for all lines in that product. Modifiers added to a policy line affect only that line. They are called ProductModifier patterns.</w:t>
        <w:br/>
        <w:br/>
        <w:t>One example in the base configuration of modifiers are those on the General Liability policy line within Commercial Package product.</w:t>
      </w:r>
    </w:p>
    <w:p>
      <w:pPr>
        <w:pStyle w:val="Heading3"/>
      </w:pPr>
      <w:r>
        <w:rPr>
          <w:sz w:val="24"/>
        </w:rPr>
        <w:t>Slide 5/16: (Untitled)</w:t>
      </w:r>
    </w:p>
    <w:p>
      <w:r>
        <w:rPr>
          <w:i/>
          <w:color w:val="888888"/>
        </w:rPr>
        <w:t>[Image placeholder]</w:t>
      </w:r>
    </w:p>
    <w:p>
      <w:pPr>
        <w:spacing w:before="80" w:after="80"/>
        <w:shd w:fill="E8E8E8" w:val="clear"/>
      </w:pPr>
      <w:r>
        <w:rPr>
          <w:i/>
          <w:color w:val="444444"/>
          <w:sz w:val="18"/>
        </w:rPr>
        <w:t>Speaker Notes: Modifier pattern</w:t>
        <w:br/>
        <w:t>Product-level modifiers are called ProductModifiers. They are applied to product only for multi- line policies such as CPP  (Commercial Package). They apply to all policy lines on apolicy. An example is the •CPPIRPM" (Commercial Package Policy Individual Risk Premium Modification) which affects rating of coverages for all lines within CPP.</w:t>
        <w:br/>
        <w:br/>
        <w:t>CPPIRPM: (CPP Individual Risk Premium Modification) This is a specific example of a scheduled rate modifier. It is used primarily in property and liability polices. The rating and quoting engine takes factors into account in determining the premium. These factors can include things like the size of premium, spread of risk, superior building construction, and the quality of management.</w:t>
      </w:r>
    </w:p>
    <w:p>
      <w:pPr>
        <w:pStyle w:val="Heading3"/>
      </w:pPr>
      <w:r>
        <w:rPr>
          <w:sz w:val="24"/>
        </w:rPr>
        <w:t>Slide 6/16: (Untitled)</w:t>
      </w:r>
    </w:p>
    <w:p>
      <w:r>
        <w:rPr>
          <w:i/>
          <w:color w:val="888888"/>
        </w:rPr>
        <w:t>[Image placeholder]</w:t>
      </w:r>
    </w:p>
    <w:p>
      <w:pPr>
        <w:spacing w:before="80" w:after="80"/>
        <w:shd w:fill="E8E8E8" w:val="clear"/>
      </w:pPr>
      <w:r>
        <w:rPr>
          <w:i/>
          <w:color w:val="444444"/>
          <w:sz w:val="18"/>
        </w:rPr>
        <w:t>Speaker Notes: Demonstration</w:t>
        <w:br/>
        <w:t>In Product Designer, go to the modifier section for Commercial Package to show that modifier will affect all the LOBs. Show the policy line relationship by selecting a modifier for the line (Modifier).</w:t>
        <w:br/>
        <w:br/>
        <w:t>Provide a Code, a Name (which will be displayed on the user interface), a Modifier Type (the subtype for the modifier), a Data Type, and a Schedule Rate checkbox if the data type is rate.</w:t>
        <w:br/>
        <w:br/>
        <w:t>For most lines of business, the modifier is associated with the entire policy (the policy line). Therefore, there is usually only one possible value for modifier type, "&lt;CodeForLine&gt;Modifier“ such as BOPModifier. For personal auto, a modifier could be associated either with the entire policy or with a specific vehicle. Therefore, for Personal Auto and Commercial Auto only, users must select the appropriate</w:t>
        <w:br/>
        <w:br/>
        <w:t xml:space="preserve"> Click on the Add button on Product -&gt; Modifiers page. Enter Code, Name, Select Modifier Type as ProductModifier, Data Type, and specify if this is a Schedule Rate modifier.</w:t>
      </w:r>
    </w:p>
    <w:p>
      <w:pPr>
        <w:pStyle w:val="Heading3"/>
      </w:pPr>
      <w:r>
        <w:rPr>
          <w:sz w:val="24"/>
        </w:rPr>
        <w:t>Slide 7/16: (Untitled)</w:t>
      </w:r>
    </w:p>
    <w:p>
      <w:pPr>
        <w:pStyle w:val="Heading3"/>
      </w:pPr>
      <w:r>
        <w:rPr>
          <w:sz w:val="24"/>
        </w:rPr>
        <w:t>Slide 8/16: (Untitled)</w:t>
      </w:r>
    </w:p>
    <w:p>
      <w:r>
        <w:rPr>
          <w:i/>
          <w:color w:val="888888"/>
        </w:rPr>
        <w:t>[Image placeholder]</w:t>
      </w:r>
    </w:p>
    <w:p>
      <w:pPr>
        <w:pStyle w:val="Heading3"/>
      </w:pPr>
      <w:r>
        <w:rPr>
          <w:sz w:val="24"/>
        </w:rPr>
        <w:t>Slide 9/16: (Untitled)</w:t>
      </w:r>
    </w:p>
    <w:p>
      <w:r>
        <w:rPr>
          <w:i/>
          <w:color w:val="888888"/>
        </w:rPr>
        <w:t>[Image placeholder]</w:t>
      </w:r>
    </w:p>
    <w:p>
      <w:pPr>
        <w:spacing w:before="80" w:after="80"/>
        <w:shd w:fill="E8E8E8" w:val="clear"/>
      </w:pPr>
      <w:r>
        <w:rPr>
          <w:i/>
          <w:color w:val="444444"/>
          <w:sz w:val="18"/>
        </w:rPr>
        <w:t>Speaker Notes: Schedule rate modifier</w:t>
        <w:br/>
        <w:t>The schedule rate modifier is a specific type of modifier that provides credits or debits within established value ranges. Use them for factors such as management, property, and other intangibles that you cannot quantify as part of the submission.</w:t>
      </w:r>
    </w:p>
    <w:p>
      <w:pPr>
        <w:pStyle w:val="Heading3"/>
      </w:pPr>
      <w:r>
        <w:rPr>
          <w:sz w:val="24"/>
        </w:rPr>
        <w:t>Slide 10/16: (Untitled)</w:t>
      </w:r>
    </w:p>
    <w:p>
      <w:r>
        <w:rPr>
          <w:i/>
          <w:color w:val="888888"/>
        </w:rPr>
        <w:t>[Image placeholder]</w:t>
      </w:r>
    </w:p>
    <w:p>
      <w:pPr>
        <w:spacing w:before="80" w:after="80"/>
        <w:shd w:fill="E8E8E8" w:val="clear"/>
      </w:pPr>
      <w:r>
        <w:rPr>
          <w:i/>
          <w:color w:val="444444"/>
          <w:sz w:val="18"/>
        </w:rPr>
        <w:t>Speaker Notes: RateFactor typelist</w:t>
        <w:br/>
        <w:t>A rating input modifier consists of one or more rate factors. Rate factors must be listed in the RateFactorType typelist before they can be added to a schedule rate.</w:t>
        <w:br/>
        <w:br/>
        <w:t>The first step in creating a schedule rate modifier is to create any needed rate factor in the RateFactorType.</w:t>
        <w:br/>
        <w:br/>
        <w:t>Configuration tip: Studio automatically knows about new typecodes, so configuration users can create the schedule rate modifier without restarting the server- However, because changes to typelists are considered data model changes, configuration users must restart the server before they can test the schedule rate modifier in the user Interface.</w:t>
        <w:br/>
        <w:br/>
        <w:t>Configuration tip: A rating input modifier consists of one or more rate factors- Rate factors must be listed in the RateFactorType typelist before they can be added to a schedule rate- Therefore, the first step in creating a schedule rate modifier is typically to create the necessary rate factors in RateFactorType. Studio automatically knows about new typecodes, so configuration users can create the schedule rate modifier without restarting the server- However, because changes to typelists are considered data model changes, configuration users must restart the server before they can test the schedule rate modifier.</w:t>
        <w:br/>
        <w:br/>
        <w:t>During modifier creation, Product Designer adds a Rate Factors link under Go to links when you set the data type to rate and you select the Schedule Rate check box. Go to Rate Factors page to add one or more rate factors that combine to give the value of the schedule credit.</w:t>
      </w:r>
    </w:p>
    <w:p>
      <w:pPr>
        <w:pStyle w:val="Heading3"/>
      </w:pPr>
      <w:r>
        <w:rPr>
          <w:sz w:val="24"/>
        </w:rPr>
        <w:t>Slide 11/16: (Untitled)</w:t>
      </w:r>
    </w:p>
    <w:p>
      <w:r>
        <w:rPr>
          <w:i/>
          <w:color w:val="888888"/>
        </w:rPr>
        <w:t>[Image placeholder]</w:t>
      </w:r>
    </w:p>
    <w:p>
      <w:pPr>
        <w:pStyle w:val="Heading3"/>
      </w:pPr>
      <w:r>
        <w:rPr>
          <w:sz w:val="24"/>
        </w:rPr>
        <w:t>Slide 12/16: (Untitled)</w:t>
      </w:r>
    </w:p>
    <w:p>
      <w:r>
        <w:rPr>
          <w:i/>
          <w:color w:val="888888"/>
        </w:rPr>
        <w:t>[Image placeholder]</w:t>
      </w:r>
    </w:p>
    <w:p>
      <w:pPr>
        <w:pStyle w:val="Heading3"/>
      </w:pPr>
      <w:r>
        <w:rPr>
          <w:sz w:val="24"/>
        </w:rPr>
        <w:t>Slide 13/16: (Untitled)</w:t>
      </w:r>
    </w:p>
    <w:p>
      <w:r>
        <w:rPr>
          <w:i/>
          <w:color w:val="888888"/>
        </w:rPr>
        <w:t>[Image placeholder]</w:t>
      </w:r>
    </w:p>
    <w:p>
      <w:pPr>
        <w:pStyle w:val="Heading3"/>
      </w:pPr>
      <w:r>
        <w:rPr>
          <w:sz w:val="24"/>
        </w:rPr>
        <w:t>Slide 14/16: (Untitled)</w:t>
      </w:r>
    </w:p>
    <w:p>
      <w:r>
        <w:rPr>
          <w:i/>
          <w:color w:val="888888"/>
        </w:rPr>
        <w:t>[Image placeholder]</w:t>
      </w:r>
    </w:p>
    <w:p>
      <w:pPr>
        <w:pStyle w:val="Heading3"/>
      </w:pPr>
      <w:r>
        <w:rPr>
          <w:sz w:val="24"/>
        </w:rPr>
        <w:t>Slide 15/16: (Untitled)</w:t>
      </w:r>
    </w:p>
    <w:p>
      <w:r>
        <w:rPr>
          <w:i/>
          <w:color w:val="888888"/>
        </w:rPr>
        <w:t>[Image placeholder]</w:t>
      </w:r>
    </w:p>
    <w:p>
      <w:pPr>
        <w:pStyle w:val="Heading3"/>
      </w:pPr>
      <w:r>
        <w:rPr>
          <w:sz w:val="24"/>
        </w:rPr>
        <w:t>Slide 16/16: (Untitled)</w:t>
      </w:r>
    </w:p>
    <w:p>
      <w:r>
        <w:rPr>
          <w:i/>
          <w:color w:val="888888"/>
        </w:rPr>
        <w:t>[Image placeholder]</w:t>
      </w:r>
    </w:p>
    <w:p>
      <w:pPr>
        <w:pStyle w:val="Heading2"/>
      </w:pPr>
      <w:r>
        <w:t>Assignment</w:t>
      </w:r>
    </w:p>
    <w:p>
      <w:r>
        <w:rPr>
          <w:b/>
          <w:color w:val="008800"/>
        </w:rPr>
        <w:t>[Assignment 21]: 21_Modifiers</w:t>
      </w:r>
    </w:p>
    <w:p>
      <w:r>
        <w:rPr>
          <w:i/>
          <w:sz w:val="18"/>
        </w:rPr>
        <w:t>File: 21_Modifiers.pdf</w:t>
      </w:r>
    </w:p>
    <w:p/>
    <w:p>
      <w:pPr>
        <w:spacing w:before="240"/>
        <w:jc w:val="center"/>
      </w:pPr>
      <w:r>
        <w:rPr>
          <w:i/>
          <w:color w:val="999999"/>
          <w:sz w:val="16"/>
        </w:rPr>
        <w:t>--- End of Lesson 21: Modifiers | 16 slides | 47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