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22: Contingencies</w:t>
      </w:r>
    </w:p>
    <w:p>
      <w:pPr>
        <w:spacing w:after="40"/>
      </w:pPr>
      <w:r>
        <w:rPr>
          <w:i/>
          <w:color w:val="999999"/>
          <w:sz w:val="16"/>
        </w:rPr>
        <w:t>Source: In_policy_23 Contingencies.pptx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1/14: (Untitled)</w:t>
      </w:r>
    </w:p>
    <w:p>
      <w:r>
        <w:rPr>
          <w:i/>
          <w:color w:val="888888"/>
        </w:rPr>
        <w:t>[Image placeholder]</w:t>
      </w:r>
    </w:p>
    <w:p>
      <w:pPr>
        <w:pStyle w:val="Heading3"/>
      </w:pPr>
      <w:r>
        <w:rPr>
          <w:sz w:val="24"/>
        </w:rPr>
        <w:t>Slide 2/14: (Untitled)</w:t>
      </w:r>
    </w:p>
    <w:p>
      <w:r>
        <w:rPr>
          <w:i/>
          <w:color w:val="888888"/>
        </w:rPr>
        <w:t>[Image placeholder]</w:t>
      </w:r>
    </w:p>
    <w:p>
      <w:pPr>
        <w:pStyle w:val="Heading3"/>
      </w:pPr>
      <w:r>
        <w:rPr>
          <w:sz w:val="24"/>
        </w:rPr>
        <w:t>Slide 3/14: (Untitled)</w:t>
      </w:r>
    </w:p>
    <w:p>
      <w:r>
        <w:rPr>
          <w:i/>
          <w:color w:val="888888"/>
        </w:rPr>
        <w:t>[Image placeholder]</w:t>
      </w:r>
    </w:p>
    <w:p>
      <w:pPr>
        <w:pStyle w:val="Heading3"/>
      </w:pPr>
      <w:r>
        <w:rPr>
          <w:sz w:val="24"/>
        </w:rPr>
        <w:t>Slide 4/14: (Untitled)</w:t>
      </w:r>
    </w:p>
    <w:p>
      <w:r>
        <w:rPr>
          <w:i/>
          <w:color w:val="888888"/>
        </w:rPr>
        <w:t>[Image placeholder]</w:t>
      </w:r>
    </w:p>
    <w:p>
      <w:pPr>
        <w:spacing w:before="80" w:after="80"/>
        <w:shd w:fill="E8E8E8" w:val="clear"/>
      </w:pPr>
      <w:r>
        <w:rPr>
          <w:i/>
          <w:color w:val="444444"/>
          <w:sz w:val="18"/>
        </w:rPr>
        <w:t>Speaker Notes: Contingencies</w:t>
        <w:br/>
        <w:t>There are times when a policy is issued, but the issuance is dependent on the delivery ofanother piece of information ordocument . For example, even if you issue a policy with a good driver discount, you still need to obtain a copy of the student’s report card. PolicyCenter has an option called "Contingencies“ which gives the user a chance to attach documents related tocontingent issuance. Contingency-related documents can be added to policies that are either issued or not yet issued. Contingencies are part of the policy. They provide a specificplace where contingency-related information can be attached.</w:t>
        <w:br/>
        <w:br/>
        <w:t xml:space="preserve"> Configuration developers needing to configure contingencies should refer to the main configuration class.</w:t>
        <w:br/>
        <w:t>ContingencyEnhancementgsx, to find relevant methods. The batch processes associated with Contingencies are:</w:t>
        <w:br/>
        <w:t>1. Handle Unresolved Contingency, and</w:t>
        <w:br/>
        <w:t>2. Recalculate Contingency Action Start Date.</w:t>
        <w:br/>
        <w:t>Additional details are available in the product documentation.</w:t>
      </w:r>
    </w:p>
    <w:p>
      <w:pPr>
        <w:pStyle w:val="Heading3"/>
      </w:pPr>
      <w:r>
        <w:rPr>
          <w:sz w:val="24"/>
        </w:rPr>
        <w:t>Slide 5/14: (Untitled)</w:t>
      </w:r>
    </w:p>
    <w:p>
      <w:r>
        <w:rPr>
          <w:i/>
          <w:color w:val="888888"/>
        </w:rPr>
        <w:t>[Image placeholder]</w:t>
      </w:r>
    </w:p>
    <w:p>
      <w:pPr>
        <w:spacing w:before="80" w:after="80"/>
        <w:shd w:fill="E8E8E8" w:val="clear"/>
      </w:pPr>
      <w:r>
        <w:rPr>
          <w:i/>
          <w:color w:val="444444"/>
          <w:sz w:val="18"/>
        </w:rPr>
        <w:t>Speaker Notes: Demonstration</w:t>
        <w:br/>
        <w:t>DEMO: Add a contingency</w:t>
        <w:br/>
        <w:t>1.Go to a policy that is not yet issued (you may have to create one)-</w:t>
        <w:br/>
        <w:t>2.In the Risk Analysis section, add a contingency-related document under the tab Contingencies</w:t>
        <w:br/>
        <w:t>3.Select Add Contingency and add a contingency for the policy. The specific contingency depends on the LOB.</w:t>
        <w:br/>
        <w:br/>
        <w:t>OTHER.</w:t>
        <w:br/>
        <w:t>In the New Contingency screen, give the Contingency a meaningful name and description. You can choose a specific action to take on the Due Date (which must be entered). The Actions starts a transaction that ranges from changing the policy, canceling the policy, or canceling and rewriting the policy. These actions are configurable.  For the base configuration, the Actions have pre- configured start and effective dates. After creating the contingency, you will be reminded of the contingency throughout each screen of the submission. To access the newly created contingency, select the contingency, and proceed to the contingency page.</w:t>
        <w:br/>
        <w:br/>
        <w:t>Show students the existing options for contingencies(notes,  document additions, and activities). In addition to resolving or waiving the contingency in this screen,  there are several options that give the ability to add details about the contingency to the submission. If configured in PolicyCenter, these notes, documents, and activities may be related to other entities:</w:t>
        <w:br/>
        <w:br/>
        <w:t>1.Notes: A note can be added to the contingency just as you would add a Note to a policy or account.</w:t>
        <w:br/>
        <w:t>2.Documents : Add a document to the contingency just as you would add a note to a policy or account.</w:t>
        <w:br/>
        <w:t>3.Activities : Add an activity to the contingency-</w:t>
        <w:br/>
        <w:br/>
        <w:t>Describe the process of</w:t>
        <w:br/>
        <w:t>Resolving a contingency.</w:t>
        <w:br/>
        <w:t>After resolving the</w:t>
        <w:br/>
        <w:t>contingency, you can see the</w:t>
        <w:br/>
        <w:t>resolved status on the</w:t>
        <w:br/>
        <w:t>contingency screen along</w:t>
        <w:br/>
        <w:t>with the completion date, due</w:t>
        <w:br/>
        <w:t>date, and potential action as</w:t>
        <w:br/>
        <w:t>well as the user who first</w:t>
        <w:br/>
        <w:t>added the contingency-</w:t>
      </w:r>
    </w:p>
    <w:p>
      <w:pPr>
        <w:pStyle w:val="Heading3"/>
      </w:pPr>
      <w:r>
        <w:rPr>
          <w:sz w:val="24"/>
        </w:rPr>
        <w:t>Slide 6/14: (Untitled)</w:t>
      </w:r>
    </w:p>
    <w:p>
      <w:pPr>
        <w:pStyle w:val="Heading3"/>
      </w:pPr>
      <w:r>
        <w:rPr>
          <w:sz w:val="24"/>
        </w:rPr>
        <w:t>Slide 7/14: (Untitled)</w:t>
      </w:r>
    </w:p>
    <w:p>
      <w:r>
        <w:rPr>
          <w:i/>
          <w:color w:val="888888"/>
        </w:rPr>
        <w:t>[Image placeholder]</w:t>
      </w:r>
    </w:p>
    <w:p>
      <w:pPr>
        <w:pStyle w:val="Heading3"/>
      </w:pPr>
      <w:r>
        <w:rPr>
          <w:sz w:val="24"/>
        </w:rPr>
        <w:t>Slide 8/14: (Untitled)</w:t>
      </w:r>
    </w:p>
    <w:p>
      <w:r>
        <w:rPr>
          <w:i/>
          <w:color w:val="888888"/>
        </w:rPr>
        <w:t>[Image placeholder]</w:t>
      </w:r>
    </w:p>
    <w:p>
      <w:pPr>
        <w:pStyle w:val="Heading3"/>
      </w:pPr>
      <w:r>
        <w:rPr>
          <w:sz w:val="24"/>
        </w:rPr>
        <w:t>Slide 9/14: (Untitled)</w:t>
      </w:r>
    </w:p>
    <w:p>
      <w:r>
        <w:rPr>
          <w:i/>
          <w:color w:val="888888"/>
        </w:rPr>
        <w:t>[Image placeholder]</w:t>
      </w:r>
    </w:p>
    <w:p>
      <w:pPr>
        <w:pStyle w:val="Heading3"/>
      </w:pPr>
      <w:r>
        <w:rPr>
          <w:sz w:val="24"/>
        </w:rPr>
        <w:t>Slide 10/14: (Untitled)</w:t>
      </w:r>
    </w:p>
    <w:p>
      <w:r>
        <w:rPr>
          <w:i/>
          <w:color w:val="888888"/>
        </w:rPr>
        <w:t>[Image placeholder]</w:t>
      </w:r>
    </w:p>
    <w:p>
      <w:pPr>
        <w:pStyle w:val="Heading3"/>
      </w:pPr>
      <w:r>
        <w:rPr>
          <w:sz w:val="24"/>
        </w:rPr>
        <w:t>Slide 11/14: (Untitled)</w:t>
      </w:r>
    </w:p>
    <w:p>
      <w:r>
        <w:rPr>
          <w:i/>
          <w:color w:val="888888"/>
        </w:rPr>
        <w:t>[Image placeholder]</w:t>
      </w:r>
    </w:p>
    <w:p>
      <w:pPr>
        <w:pStyle w:val="Heading3"/>
      </w:pPr>
      <w:r>
        <w:rPr>
          <w:sz w:val="24"/>
        </w:rPr>
        <w:t>Slide 12/14: (Untitled)</w:t>
      </w:r>
    </w:p>
    <w:p>
      <w:r>
        <w:rPr>
          <w:i/>
          <w:color w:val="888888"/>
        </w:rPr>
        <w:t>[Image placeholder]</w:t>
      </w:r>
    </w:p>
    <w:p>
      <w:pPr>
        <w:pStyle w:val="Heading3"/>
      </w:pPr>
      <w:r>
        <w:rPr>
          <w:sz w:val="24"/>
        </w:rPr>
        <w:t>Slide 13/14: (Untitled)</w:t>
      </w:r>
    </w:p>
    <w:p>
      <w:r>
        <w:rPr>
          <w:i/>
          <w:color w:val="888888"/>
        </w:rPr>
        <w:t>[Image placeholder]</w:t>
      </w:r>
    </w:p>
    <w:p>
      <w:pPr>
        <w:pStyle w:val="Heading3"/>
      </w:pPr>
      <w:r>
        <w:rPr>
          <w:sz w:val="24"/>
        </w:rPr>
        <w:t>Slide 14/14: (Untitled)</w:t>
      </w:r>
    </w:p>
    <w:p>
      <w:r>
        <w:rPr>
          <w:i/>
          <w:color w:val="888888"/>
        </w:rPr>
        <w:t>[Image placeholder]</w:t>
      </w:r>
    </w:p>
    <w:p>
      <w:pPr>
        <w:pStyle w:val="Heading2"/>
      </w:pPr>
      <w:r>
        <w:t>Assignment</w:t>
      </w:r>
    </w:p>
    <w:p>
      <w:r>
        <w:rPr>
          <w:b/>
          <w:color w:val="008800"/>
        </w:rPr>
        <w:t>[Assignment 22]: 22_Contingencies</w:t>
      </w:r>
    </w:p>
    <w:p>
      <w:r>
        <w:rPr>
          <w:i/>
          <w:sz w:val="18"/>
        </w:rPr>
        <w:t>File: 22_Contingencies.pdf</w:t>
      </w:r>
    </w:p>
    <w:p/>
    <w:p>
      <w:pPr>
        <w:spacing w:before="240"/>
        <w:jc w:val="center"/>
      </w:pPr>
      <w:r>
        <w:rPr>
          <w:i/>
          <w:color w:val="999999"/>
          <w:sz w:val="16"/>
        </w:rPr>
        <w:t>--- End of Lesson 22: Contingencies | 14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