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23: policy Holds and Underwriting referral Reasons</w:t>
      </w:r>
    </w:p>
    <w:p>
      <w:pPr>
        <w:spacing w:after="40"/>
      </w:pPr>
      <w:r>
        <w:rPr>
          <w:i/>
          <w:color w:val="999999"/>
          <w:sz w:val="16"/>
        </w:rPr>
        <w:t>Source: In_policy_24 policy Holds and Underwriting referral Reasons.pptx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1/17: (Untitled)</w:t>
      </w:r>
    </w:p>
    <w:p>
      <w:r>
        <w:rPr>
          <w:i/>
          <w:color w:val="888888"/>
        </w:rPr>
        <w:t>[Image placeholder]</w:t>
      </w:r>
    </w:p>
    <w:p>
      <w:pPr>
        <w:pStyle w:val="Heading3"/>
      </w:pPr>
      <w:r>
        <w:rPr>
          <w:sz w:val="24"/>
        </w:rPr>
        <w:t>Slide 2/17: (Untitled)</w:t>
      </w:r>
    </w:p>
    <w:p>
      <w:r>
        <w:rPr>
          <w:i/>
          <w:color w:val="888888"/>
        </w:rPr>
        <w:t>[Image placeholder]</w:t>
      </w:r>
    </w:p>
    <w:p>
      <w:pPr>
        <w:pStyle w:val="Heading3"/>
      </w:pPr>
      <w:r>
        <w:rPr>
          <w:sz w:val="24"/>
        </w:rPr>
        <w:t>Slide 3/17: (Untitled)</w:t>
      </w:r>
    </w:p>
    <w:p>
      <w:r>
        <w:rPr>
          <w:i/>
          <w:color w:val="888888"/>
        </w:rPr>
        <w:t>[Image placeholder]</w:t>
      </w:r>
    </w:p>
    <w:p>
      <w:pPr>
        <w:pStyle w:val="Heading3"/>
      </w:pPr>
      <w:r>
        <w:rPr>
          <w:sz w:val="24"/>
        </w:rPr>
        <w:t>Slide 4/17: (Untitled)</w:t>
      </w:r>
    </w:p>
    <w:p>
      <w:r>
        <w:rPr>
          <w:i/>
          <w:color w:val="888888"/>
        </w:rPr>
        <w:t>[Image placeholder]</w:t>
      </w:r>
    </w:p>
    <w:p>
      <w:pPr>
        <w:spacing w:before="80" w:after="80"/>
        <w:shd w:fill="E8E8E8" w:val="clear"/>
      </w:pPr>
      <w:r>
        <w:rPr>
          <w:i/>
          <w:color w:val="444444"/>
          <w:sz w:val="18"/>
        </w:rPr>
        <w:t>Speaker Notes: Policy holds</w:t>
        <w:br/>
        <w:t>For a business, coverage forms and rates are constantly changing. Changes are generally made at the state level by line of business. Although changes generally pertain to one state,  sometimes changes occur on a nationwide level when numerous states adopt the same change simultaneously. Work is put on hold for a number of days before the effective date of the change to ensure that work is not started with incorrect rates or forms.</w:t>
      </w:r>
    </w:p>
    <w:p>
      <w:pPr>
        <w:pStyle w:val="Heading3"/>
      </w:pPr>
      <w:r>
        <w:rPr>
          <w:sz w:val="24"/>
        </w:rPr>
        <w:t>Slide 5/17: (Untitled)</w:t>
      </w:r>
    </w:p>
    <w:p>
      <w:r>
        <w:rPr>
          <w:i/>
          <w:color w:val="888888"/>
        </w:rPr>
        <w:t>[Image placeholder]</w:t>
      </w:r>
    </w:p>
    <w:p>
      <w:pPr>
        <w:spacing w:before="80" w:after="80"/>
        <w:shd w:fill="E8E8E8" w:val="clear"/>
      </w:pPr>
      <w:r>
        <w:rPr>
          <w:i/>
          <w:color w:val="444444"/>
          <w:sz w:val="18"/>
        </w:rPr>
        <w:t>Speaker Notes: Hold and release a transaction in PolicyCenter (I of 3)</w:t>
        <w:br/>
        <w:t>If a policy hold applies, then policy transactions are blocked. PolicyCenter creates an underwriting issue of the policy hold type. transaction.</w:t>
      </w:r>
    </w:p>
    <w:p>
      <w:pPr>
        <w:pStyle w:val="Heading3"/>
      </w:pPr>
      <w:r>
        <w:rPr>
          <w:sz w:val="24"/>
        </w:rPr>
        <w:t>Slide 6/17: (Untitled)</w:t>
      </w:r>
    </w:p>
    <w:p>
      <w:r>
        <w:rPr>
          <w:i/>
          <w:color w:val="888888"/>
        </w:rPr>
        <w:t>[Image placeholder]</w:t>
      </w:r>
    </w:p>
    <w:p>
      <w:pPr>
        <w:spacing w:before="80" w:after="80"/>
        <w:shd w:fill="E8E8E8" w:val="clear"/>
      </w:pPr>
      <w:r>
        <w:rPr>
          <w:i/>
          <w:color w:val="444444"/>
          <w:sz w:val="18"/>
        </w:rPr>
        <w:t>Speaker Notes: Hold and release a transaction in PolicyCenter (2 of 3)</w:t>
        <w:br/>
        <w:t>An underwriter with proper authority can approve the UW issue.</w:t>
      </w:r>
    </w:p>
    <w:p>
      <w:pPr>
        <w:pStyle w:val="Heading3"/>
      </w:pPr>
      <w:r>
        <w:rPr>
          <w:sz w:val="24"/>
        </w:rPr>
        <w:t>Slide 7/17: (Untitled)</w:t>
      </w:r>
    </w:p>
    <w:p>
      <w:r>
        <w:rPr>
          <w:i/>
          <w:color w:val="888888"/>
        </w:rPr>
        <w:t>[Image placeholder]</w:t>
      </w:r>
    </w:p>
    <w:p>
      <w:pPr>
        <w:spacing w:before="80" w:after="80"/>
        <w:shd w:fill="E8E8E8" w:val="clear"/>
      </w:pPr>
      <w:r>
        <w:rPr>
          <w:i/>
          <w:color w:val="444444"/>
          <w:sz w:val="18"/>
        </w:rPr>
        <w:t>Speaker Notes: Hold and release a transaction in PolicyCenter (I of 3)</w:t>
        <w:br/>
        <w:t>Until the issue is approved, a batch process Policy Hold Job Evaluation runs at scheduled times and compares the period values with the hold values. It reevaluates whether the hold can be removed. An issue can be approved when the hold end date has passed, or the hold is modified by a superuser. The PolicyHoldJobEvalPlugin tracks transactions that are currently held by a policy hold and notes the last time the transaction was evaluated against the policy hold.Once a hold can be removed, an activity is sent to the producer so they can process the transaction.</w:t>
      </w:r>
    </w:p>
    <w:p>
      <w:pPr>
        <w:pStyle w:val="Heading3"/>
      </w:pPr>
      <w:r>
        <w:rPr>
          <w:sz w:val="24"/>
        </w:rPr>
        <w:t>Slide 8/17: (Untitled)</w:t>
      </w:r>
    </w:p>
    <w:p>
      <w:r>
        <w:rPr>
          <w:i/>
          <w:color w:val="888888"/>
        </w:rPr>
        <w:t>[Image placeholder]</w:t>
      </w:r>
    </w:p>
    <w:p>
      <w:pPr>
        <w:pStyle w:val="Heading3"/>
      </w:pPr>
      <w:r>
        <w:rPr>
          <w:sz w:val="24"/>
        </w:rPr>
        <w:t>Slide 9/17: (Untitled)</w:t>
      </w:r>
    </w:p>
    <w:p>
      <w:pPr>
        <w:pStyle w:val="Heading3"/>
      </w:pPr>
      <w:r>
        <w:rPr>
          <w:sz w:val="24"/>
        </w:rPr>
        <w:t>Slide 10/17: (Untitled)</w:t>
      </w:r>
    </w:p>
    <w:p>
      <w:r>
        <w:rPr>
          <w:i/>
          <w:color w:val="888888"/>
        </w:rPr>
        <w:t>[Image placeholder]</w:t>
      </w:r>
    </w:p>
    <w:p>
      <w:pPr>
        <w:pStyle w:val="Heading3"/>
      </w:pPr>
      <w:r>
        <w:rPr>
          <w:sz w:val="24"/>
        </w:rPr>
        <w:t>Slide 11/17: (Untitled)</w:t>
      </w:r>
    </w:p>
    <w:p>
      <w:r>
        <w:rPr>
          <w:i/>
          <w:color w:val="888888"/>
        </w:rPr>
        <w:t>[Image placeholder]</w:t>
      </w:r>
    </w:p>
    <w:p>
      <w:pPr>
        <w:spacing w:before="80" w:after="80"/>
        <w:shd w:fill="E8E8E8" w:val="clear"/>
      </w:pPr>
      <w:r>
        <w:rPr>
          <w:i/>
          <w:color w:val="444444"/>
          <w:sz w:val="18"/>
        </w:rPr>
        <w:t>Speaker Notes: Underwriting referral reasons</w:t>
        <w:br/>
        <w:t xml:space="preserve">Referral reasons can be used to record underwriting issues for a policy outside of the context of a transaction.  Since referral reasons are added to the policy, they can be created at any time, even when there is no policy transaction- PolicyCenter creates underwriting issuesfor these referral reasons the next time a user processes a transaction on the policy. It also checks for referral reasons at various point in the transaction progress. Referral reasons can block transaction progress on the policy. In the default application, the renewal transaction checks to see if there are any open referral reasons in the prior term. Referral reasons affect all transactions that handle underwriter issues- </w:t>
        <w:br/>
        <w:br/>
        <w:t>Consider the following example for referral reason creation. An external claim system stores the loss claims for a policy. The external system notes that loss claims are unacceptably high. The external system sends a message to PolicyCenter to add an undemriting referral reason to the policy. The next time a transaction runs on the policy, an issue is created that corresponds to the referral reason which remains on the policy.</w:t>
        <w:br/>
        <w:br/>
        <w:t>An underwriter cannot approve an underwriting referral reason, but the UW can remove it. For example, a visit to the customer site revealed numerous safety violations, and an underwriting referral reason was added to the policy- On a subsequent visit, the safety violations had been addressed- The underwriting referral reason is removed from the policy. The next time a transaction is run or reaches a checking set, the corresponding issue is deactivated-</w:t>
      </w:r>
    </w:p>
    <w:p>
      <w:pPr>
        <w:pStyle w:val="Heading3"/>
      </w:pPr>
      <w:r>
        <w:rPr>
          <w:sz w:val="24"/>
        </w:rPr>
        <w:t>Slide 12/17: (Untitled)</w:t>
      </w:r>
    </w:p>
    <w:p>
      <w:r>
        <w:rPr>
          <w:i/>
          <w:color w:val="888888"/>
        </w:rPr>
        <w:t>[Image placeholder]</w:t>
      </w:r>
    </w:p>
    <w:p>
      <w:pPr>
        <w:pStyle w:val="Heading3"/>
      </w:pPr>
      <w:r>
        <w:rPr>
          <w:sz w:val="24"/>
        </w:rPr>
        <w:t>Slide 13/17: (Untitled)</w:t>
      </w:r>
    </w:p>
    <w:p>
      <w:r>
        <w:rPr>
          <w:i/>
          <w:color w:val="888888"/>
        </w:rPr>
        <w:t>[Image placeholder]</w:t>
      </w:r>
    </w:p>
    <w:p>
      <w:pPr>
        <w:pStyle w:val="Heading3"/>
      </w:pPr>
      <w:r>
        <w:rPr>
          <w:sz w:val="24"/>
        </w:rPr>
        <w:t>Slide 14/17: (Untitled)</w:t>
      </w:r>
    </w:p>
    <w:p>
      <w:pPr>
        <w:pStyle w:val="Heading3"/>
      </w:pPr>
      <w:r>
        <w:rPr>
          <w:sz w:val="24"/>
        </w:rPr>
        <w:t>Slide 15/17: (Untitled)</w:t>
      </w:r>
    </w:p>
    <w:p>
      <w:r>
        <w:rPr>
          <w:i/>
          <w:color w:val="888888"/>
        </w:rPr>
        <w:t>[Image placeholder]</w:t>
      </w:r>
    </w:p>
    <w:p>
      <w:pPr>
        <w:pStyle w:val="Heading3"/>
      </w:pPr>
      <w:r>
        <w:rPr>
          <w:sz w:val="24"/>
        </w:rPr>
        <w:t>Slide 16/17: (Untitled)</w:t>
      </w:r>
    </w:p>
    <w:p>
      <w:r>
        <w:rPr>
          <w:i/>
          <w:color w:val="888888"/>
        </w:rPr>
        <w:t>[Image placeholder]</w:t>
      </w:r>
    </w:p>
    <w:p>
      <w:pPr>
        <w:pStyle w:val="Heading3"/>
      </w:pPr>
      <w:r>
        <w:rPr>
          <w:sz w:val="24"/>
        </w:rPr>
        <w:t>Slide 17/17: (Untitled)</w:t>
      </w:r>
    </w:p>
    <w:p>
      <w:r>
        <w:rPr>
          <w:i/>
          <w:color w:val="888888"/>
        </w:rPr>
        <w:t>[Image placeholder]</w:t>
      </w:r>
    </w:p>
    <w:p>
      <w:pPr>
        <w:pStyle w:val="Heading2"/>
      </w:pPr>
      <w:r>
        <w:t>Assignment</w:t>
      </w:r>
    </w:p>
    <w:p>
      <w:r>
        <w:rPr>
          <w:b/>
          <w:color w:val="008800"/>
        </w:rPr>
        <w:t>[Assignment 23]: 23_Policy Holds and Underwriting Referral Reasons</w:t>
      </w:r>
    </w:p>
    <w:p>
      <w:r>
        <w:rPr>
          <w:i/>
          <w:sz w:val="18"/>
        </w:rPr>
        <w:t>File: 23_Policy Holds and Underwriting Referral Reasons.pdf</w:t>
      </w:r>
    </w:p>
    <w:p/>
    <w:p>
      <w:pPr>
        <w:spacing w:before="240"/>
        <w:jc w:val="center"/>
      </w:pPr>
      <w:r>
        <w:rPr>
          <w:i/>
          <w:color w:val="999999"/>
          <w:sz w:val="16"/>
        </w:rPr>
        <w:t>--- End of Lesson 23: policy Holds and Underwriting referral Reasons | 17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