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04: PolicyCenter Introduction</w:t>
      </w:r>
    </w:p>
    <w:p>
      <w:pPr>
        <w:pStyle w:val="Heading2"/>
      </w:pPr>
      <w:r>
        <w:rPr>
          <w:color w:val="333333"/>
          <w:sz w:val="28"/>
        </w:rPr>
        <w:t>Lesson 30: Rating Basics</w:t>
      </w:r>
    </w:p>
    <w:p>
      <w:pPr>
        <w:spacing w:after="40"/>
      </w:pPr>
      <w:r>
        <w:rPr>
          <w:i/>
          <w:color w:val="999999"/>
          <w:sz w:val="16"/>
        </w:rPr>
        <w:t>Source: In_policy_31 Rating Basics.pptx</w:t>
      </w:r>
    </w:p>
    <w:p>
      <w:pPr>
        <w:pStyle w:val="Heading3"/>
      </w:pPr>
      <w:r>
        <w:t>Video References</w:t>
      </w:r>
    </w:p>
    <w:p>
      <w:pPr>
        <w:pStyle w:val="ListNumber"/>
      </w:pPr>
      <w:r>
        <w:rPr>
          <w:color w:val="0066CC"/>
          <w:sz w:val="20"/>
        </w:rPr>
        <w:t>[Video 1: In_Policy_07_01.mp4]</w:t>
      </w:r>
    </w:p>
    <w:p>
      <w:pPr>
        <w:pStyle w:val="ListNumber"/>
      </w:pPr>
      <w:r>
        <w:rPr>
          <w:color w:val="0066CC"/>
          <w:sz w:val="20"/>
        </w:rPr>
        <w:t>[Video 2: In_Policy_08_01.mp4]</w:t>
      </w:r>
    </w:p>
    <w:p>
      <w:pPr>
        <w:pStyle w:val="ListNumber"/>
      </w:pPr>
      <w:r>
        <w:rPr>
          <w:color w:val="0066CC"/>
          <w:sz w:val="20"/>
        </w:rPr>
        <w:t>[Video 3: In_Policy_08_02.mp4]</w:t>
      </w:r>
    </w:p>
    <w:p>
      <w:pPr>
        <w:pStyle w:val="ListNumber"/>
      </w:pPr>
      <w:r>
        <w:rPr>
          <w:color w:val="0066CC"/>
          <w:sz w:val="20"/>
        </w:rPr>
        <w:t>[Video 4: In_Policy_09_01.mp4]</w:t>
      </w:r>
    </w:p>
    <w:p>
      <w:pPr>
        <w:pStyle w:val="ListNumber"/>
      </w:pPr>
      <w:r>
        <w:rPr>
          <w:color w:val="0066CC"/>
          <w:sz w:val="20"/>
        </w:rPr>
        <w:t>[Video 5: In_Policy_09_02.mp4]</w:t>
      </w:r>
    </w:p>
    <w:p>
      <w:pPr>
        <w:pStyle w:val="ListNumber"/>
      </w:pPr>
      <w:r>
        <w:rPr>
          <w:color w:val="0066CC"/>
          <w:sz w:val="20"/>
        </w:rPr>
        <w:t>[Video 6: In_Policy_09_03.mp4]</w:t>
      </w:r>
    </w:p>
    <w:p>
      <w:pPr>
        <w:pStyle w:val="ListNumber"/>
      </w:pPr>
      <w:r>
        <w:rPr>
          <w:color w:val="0066CC"/>
          <w:sz w:val="20"/>
        </w:rPr>
        <w:t>[Video 7: In_Policy_10_01.mp4]</w:t>
      </w:r>
    </w:p>
    <w:p>
      <w:pPr>
        <w:pStyle w:val="ListNumber"/>
      </w:pPr>
      <w:r>
        <w:rPr>
          <w:color w:val="0066CC"/>
          <w:sz w:val="20"/>
        </w:rPr>
        <w:t>[Video 8: In_Policy_10_02.mp4]</w:t>
      </w:r>
    </w:p>
    <w:p>
      <w:pPr>
        <w:pStyle w:val="ListNumber"/>
      </w:pPr>
      <w:r>
        <w:rPr>
          <w:color w:val="0066CC"/>
          <w:sz w:val="20"/>
        </w:rPr>
        <w:t>[Video 9: In_Policy_11_01.mp4]</w:t>
      </w:r>
    </w:p>
    <w:p>
      <w:pPr>
        <w:pStyle w:val="ListNumber"/>
      </w:pPr>
      <w:r>
        <w:rPr>
          <w:color w:val="0066CC"/>
          <w:sz w:val="20"/>
        </w:rPr>
        <w:t>[Video 10: In_Policy_12_01.mp4]</w:t>
      </w:r>
    </w:p>
    <w:p>
      <w:pPr>
        <w:pStyle w:val="ListNumber"/>
      </w:pPr>
      <w:r>
        <w:rPr>
          <w:color w:val="0066CC"/>
          <w:sz w:val="20"/>
        </w:rPr>
        <w:t>[Video 11: In_Policy_13_01.mp4]</w:t>
      </w:r>
    </w:p>
    <w:p>
      <w:pPr>
        <w:pStyle w:val="ListNumber"/>
      </w:pPr>
      <w:r>
        <w:rPr>
          <w:color w:val="0066CC"/>
          <w:sz w:val="20"/>
        </w:rPr>
        <w:t>[Video 12: In_Policy_13_02.mp4]</w:t>
      </w:r>
    </w:p>
    <w:p>
      <w:pPr>
        <w:pStyle w:val="ListNumber"/>
      </w:pPr>
      <w:r>
        <w:rPr>
          <w:color w:val="0066CC"/>
          <w:sz w:val="20"/>
        </w:rPr>
        <w:t>[Video 13: In_Policy_13_03.mp4]</w:t>
      </w:r>
    </w:p>
    <w:p>
      <w:pPr>
        <w:pStyle w:val="ListNumber"/>
      </w:pPr>
      <w:r>
        <w:rPr>
          <w:color w:val="0066CC"/>
          <w:sz w:val="20"/>
        </w:rPr>
        <w:t>[Video 14: In_Policy_14_01.mp4]</w:t>
      </w:r>
    </w:p>
    <w:p>
      <w:pPr>
        <w:pStyle w:val="ListNumber"/>
      </w:pPr>
      <w:r>
        <w:rPr>
          <w:color w:val="0066CC"/>
          <w:sz w:val="20"/>
        </w:rPr>
        <w:t>[Video 15: In_Policy_15_01.mp4]</w:t>
      </w:r>
    </w:p>
    <w:p>
      <w:pPr>
        <w:pStyle w:val="ListNumber"/>
      </w:pPr>
      <w:r>
        <w:rPr>
          <w:color w:val="0066CC"/>
          <w:sz w:val="20"/>
        </w:rPr>
        <w:t>[Video 16: In_Policy_16_01.mp4]</w:t>
      </w:r>
    </w:p>
    <w:p>
      <w:pPr>
        <w:pStyle w:val="ListNumber"/>
      </w:pPr>
      <w:r>
        <w:rPr>
          <w:color w:val="0066CC"/>
          <w:sz w:val="20"/>
        </w:rPr>
        <w:t>[Video 17: In_Policy_16_02.mp4]</w:t>
      </w:r>
    </w:p>
    <w:p>
      <w:pPr>
        <w:pStyle w:val="ListNumber"/>
      </w:pPr>
      <w:r>
        <w:rPr>
          <w:color w:val="0066CC"/>
          <w:sz w:val="20"/>
        </w:rPr>
        <w:t>[Video 18: In_Policy_16_03.mp4]</w:t>
      </w:r>
    </w:p>
    <w:p>
      <w:pPr>
        <w:pStyle w:val="ListNumber"/>
      </w:pPr>
      <w:r>
        <w:rPr>
          <w:color w:val="0066CC"/>
          <w:sz w:val="20"/>
        </w:rPr>
        <w:t>[Video 19: In_Policy_17_01.mp4]</w:t>
      </w:r>
    </w:p>
    <w:p>
      <w:pPr>
        <w:pStyle w:val="ListNumber"/>
      </w:pPr>
      <w:r>
        <w:rPr>
          <w:color w:val="0066CC"/>
          <w:sz w:val="20"/>
        </w:rPr>
        <w:t>[Video 20: In_Policy_17_02.mp4]</w:t>
      </w:r>
    </w:p>
    <w:p>
      <w:pPr>
        <w:pStyle w:val="ListNumber"/>
      </w:pPr>
      <w:r>
        <w:rPr>
          <w:color w:val="0066CC"/>
          <w:sz w:val="20"/>
        </w:rPr>
        <w:t>[Video 21: In_Policy_18_01.mp4]</w:t>
      </w:r>
    </w:p>
    <w:p>
      <w:pPr>
        <w:pStyle w:val="ListNumber"/>
      </w:pPr>
      <w:r>
        <w:rPr>
          <w:color w:val="0066CC"/>
          <w:sz w:val="20"/>
        </w:rPr>
        <w:t>[Video 22: In_Policy_19_01.mp4]</w:t>
      </w:r>
    </w:p>
    <w:p>
      <w:pPr>
        <w:pStyle w:val="ListNumber"/>
      </w:pPr>
      <w:r>
        <w:rPr>
          <w:color w:val="0066CC"/>
          <w:sz w:val="20"/>
        </w:rPr>
        <w:t>[Video 23: In_Policy_19_02 .mp4]</w:t>
      </w:r>
    </w:p>
    <w:p>
      <w:pPr>
        <w:pStyle w:val="ListNumber"/>
      </w:pPr>
      <w:r>
        <w:rPr>
          <w:color w:val="0066CC"/>
          <w:sz w:val="20"/>
        </w:rPr>
        <w:t>[Video 24: In_Policy_20_01.mp4]</w:t>
      </w:r>
    </w:p>
    <w:p>
      <w:pPr>
        <w:pStyle w:val="ListNumber"/>
      </w:pPr>
      <w:r>
        <w:rPr>
          <w:color w:val="0066CC"/>
          <w:sz w:val="20"/>
        </w:rPr>
        <w:t>[Video 25: In_Policy_21_01.mp4]</w:t>
      </w:r>
    </w:p>
    <w:p>
      <w:pPr>
        <w:pStyle w:val="ListNumber"/>
      </w:pPr>
      <w:r>
        <w:rPr>
          <w:color w:val="0066CC"/>
          <w:sz w:val="20"/>
        </w:rPr>
        <w:t>[Video 26: In_Policy_21_02.mp4]</w:t>
      </w:r>
    </w:p>
    <w:p>
      <w:pPr>
        <w:pStyle w:val="ListNumber"/>
      </w:pPr>
      <w:r>
        <w:rPr>
          <w:color w:val="0066CC"/>
          <w:sz w:val="20"/>
        </w:rPr>
        <w:t>[Video 27: In_Policy_21_03.mp4]</w:t>
      </w:r>
    </w:p>
    <w:p>
      <w:pPr>
        <w:pStyle w:val="ListNumber"/>
      </w:pPr>
      <w:r>
        <w:rPr>
          <w:color w:val="0066CC"/>
          <w:sz w:val="20"/>
        </w:rPr>
        <w:t>[Video 28: In_Policy_22_01.mp4]</w:t>
      </w:r>
    </w:p>
    <w:p>
      <w:pPr>
        <w:pStyle w:val="ListNumber"/>
      </w:pPr>
      <w:r>
        <w:rPr>
          <w:color w:val="0066CC"/>
          <w:sz w:val="20"/>
        </w:rPr>
        <w:t>[Video 29: In_Policy_23_01.mp4]</w:t>
      </w:r>
    </w:p>
    <w:p>
      <w:pPr>
        <w:pStyle w:val="ListNumber"/>
      </w:pPr>
      <w:r>
        <w:rPr>
          <w:color w:val="0066CC"/>
          <w:sz w:val="20"/>
        </w:rPr>
        <w:t>[Video 30: In_Policy_24_01.mp4]</w:t>
      </w:r>
    </w:p>
    <w:p>
      <w:pPr>
        <w:pStyle w:val="ListNumber"/>
      </w:pPr>
      <w:r>
        <w:rPr>
          <w:color w:val="0066CC"/>
          <w:sz w:val="20"/>
        </w:rPr>
        <w:t>[Video 31: In_Policy_24_02.mp4]</w:t>
      </w:r>
    </w:p>
    <w:p>
      <w:pPr>
        <w:pStyle w:val="ListNumber"/>
      </w:pPr>
      <w:r>
        <w:rPr>
          <w:color w:val="0066CC"/>
          <w:sz w:val="20"/>
        </w:rPr>
        <w:t>[Video 32: In_Policy_25_01.mp4]</w:t>
      </w:r>
    </w:p>
    <w:p>
      <w:pPr>
        <w:pStyle w:val="ListNumber"/>
      </w:pPr>
      <w:r>
        <w:rPr>
          <w:color w:val="0066CC"/>
          <w:sz w:val="20"/>
        </w:rPr>
        <w:t>[Video 33: In_Policy_26_01.mp4]</w:t>
      </w:r>
    </w:p>
    <w:p>
      <w:pPr>
        <w:pStyle w:val="ListNumber"/>
      </w:pPr>
      <w:r>
        <w:rPr>
          <w:color w:val="0066CC"/>
          <w:sz w:val="20"/>
        </w:rPr>
        <w:t>[Video 34: In_Policy_27_01.mp4]</w:t>
      </w:r>
    </w:p>
    <w:p>
      <w:pPr>
        <w:pStyle w:val="ListNumber"/>
      </w:pPr>
      <w:r>
        <w:rPr>
          <w:color w:val="0066CC"/>
          <w:sz w:val="20"/>
        </w:rPr>
        <w:t>[Video 35: In_Policy_28_01.mp4]</w:t>
      </w:r>
    </w:p>
    <w:p>
      <w:pPr>
        <w:pStyle w:val="ListNumber"/>
      </w:pPr>
      <w:r>
        <w:rPr>
          <w:color w:val="0066CC"/>
          <w:sz w:val="20"/>
        </w:rPr>
        <w:t>[Video 36: In_Policy_28_02.mp4]</w:t>
      </w:r>
    </w:p>
    <w:p>
      <w:pPr>
        <w:pStyle w:val="ListNumber"/>
      </w:pPr>
      <w:r>
        <w:rPr>
          <w:color w:val="0066CC"/>
          <w:sz w:val="20"/>
        </w:rPr>
        <w:t>[Video 37: In_Policy_29_01.mp4]</w:t>
      </w:r>
    </w:p>
    <w:p>
      <w:pPr>
        <w:pStyle w:val="ListNumber"/>
      </w:pPr>
      <w:r>
        <w:rPr>
          <w:color w:val="0066CC"/>
          <w:sz w:val="20"/>
        </w:rPr>
        <w:t>[Video 38: In_Policy_30_01.mp4]</w:t>
      </w:r>
    </w:p>
    <w:p>
      <w:pPr>
        <w:pStyle w:val="ListNumber"/>
      </w:pPr>
      <w:r>
        <w:rPr>
          <w:color w:val="0066CC"/>
          <w:sz w:val="20"/>
        </w:rPr>
        <w:t>[Video 39: In_policy_01_01.mp4]</w:t>
      </w:r>
    </w:p>
    <w:p>
      <w:pPr>
        <w:pStyle w:val="ListNumber"/>
      </w:pPr>
      <w:r>
        <w:rPr>
          <w:color w:val="0066CC"/>
          <w:sz w:val="20"/>
        </w:rPr>
        <w:t>[Video 40: In_policy_01_02.mp4]</w:t>
      </w:r>
    </w:p>
    <w:p>
      <w:pPr>
        <w:pStyle w:val="ListNumber"/>
      </w:pPr>
      <w:r>
        <w:rPr>
          <w:color w:val="0066CC"/>
          <w:sz w:val="20"/>
        </w:rPr>
        <w:t>[Video 41: In_policy_03_01.mp4]</w:t>
      </w:r>
    </w:p>
    <w:p>
      <w:pPr>
        <w:pStyle w:val="ListNumber"/>
      </w:pPr>
      <w:r>
        <w:rPr>
          <w:color w:val="0066CC"/>
          <w:sz w:val="20"/>
        </w:rPr>
        <w:t>[Video 42: In_policy_03_02.mp4]</w:t>
      </w:r>
    </w:p>
    <w:p>
      <w:pPr>
        <w:pStyle w:val="ListNumber"/>
      </w:pPr>
      <w:r>
        <w:rPr>
          <w:color w:val="0066CC"/>
          <w:sz w:val="20"/>
        </w:rPr>
        <w:t>[Video 43: In_policy_06_01.mp4]</w:t>
      </w:r>
    </w:p>
    <w:p>
      <w:pPr>
        <w:pStyle w:val="ListNumber"/>
      </w:pPr>
      <w:r>
        <w:rPr>
          <w:color w:val="0066CC"/>
          <w:sz w:val="20"/>
        </w:rPr>
        <w:t>[Video 44: In_policy_06_02.mp4]</w:t>
      </w:r>
    </w:p>
    <w:p>
      <w:pPr>
        <w:pStyle w:val="ListNumber"/>
      </w:pPr>
      <w:r>
        <w:rPr>
          <w:color w:val="0066CC"/>
          <w:sz w:val="20"/>
        </w:rPr>
        <w:t>[Video 45: In_policy_06_03.mp4]</w:t>
      </w:r>
    </w:p>
    <w:p>
      <w:pPr>
        <w:pStyle w:val="ListNumber"/>
      </w:pPr>
      <w:r>
        <w:rPr>
          <w:color w:val="0066CC"/>
          <w:sz w:val="20"/>
        </w:rPr>
        <w:t>[Video 46: In_policy_06_04.mp4]</w:t>
      </w:r>
    </w:p>
    <w:p>
      <w:pPr>
        <w:pStyle w:val="ListNumber"/>
      </w:pPr>
      <w:r>
        <w:rPr>
          <w:color w:val="0066CC"/>
          <w:sz w:val="20"/>
        </w:rPr>
        <w:t>[Video 47: In_policy_06_05.mp4]</w:t>
      </w:r>
    </w:p>
    <w:p/>
    <w:p>
      <w:pPr>
        <w:pStyle w:val="Heading2"/>
      </w:pPr>
      <w:r>
        <w:t>Slide Content</w:t>
      </w:r>
    </w:p>
    <w:p>
      <w:pPr>
        <w:pStyle w:val="Heading3"/>
      </w:pPr>
      <w:r>
        <w:rPr>
          <w:sz w:val="24"/>
        </w:rPr>
        <w:t>Slide 1/17: (Untitled)</w:t>
      </w:r>
    </w:p>
    <w:p>
      <w:r>
        <w:rPr>
          <w:i/>
          <w:color w:val="888888"/>
        </w:rPr>
        <w:t>[Image placeholder]</w:t>
      </w:r>
    </w:p>
    <w:p>
      <w:pPr>
        <w:pStyle w:val="Heading3"/>
      </w:pPr>
      <w:r>
        <w:rPr>
          <w:sz w:val="24"/>
        </w:rPr>
        <w:t>Slide 2/17: (Untitled)</w:t>
      </w:r>
    </w:p>
    <w:p>
      <w:r>
        <w:rPr>
          <w:i/>
          <w:color w:val="888888"/>
        </w:rPr>
        <w:t>[Image placeholder]</w:t>
      </w:r>
    </w:p>
    <w:p>
      <w:pPr>
        <w:pStyle w:val="Heading3"/>
      </w:pPr>
      <w:r>
        <w:rPr>
          <w:sz w:val="24"/>
        </w:rPr>
        <w:t>Slide 3/17: (Untitled)</w:t>
      </w:r>
    </w:p>
    <w:p>
      <w:r>
        <w:rPr>
          <w:i/>
          <w:color w:val="888888"/>
        </w:rPr>
        <w:t>[Image placeholder]</w:t>
      </w:r>
    </w:p>
    <w:p>
      <w:pPr>
        <w:pStyle w:val="Heading3"/>
      </w:pPr>
      <w:r>
        <w:rPr>
          <w:sz w:val="24"/>
        </w:rPr>
        <w:t>Slide 4/17: (Untitled)</w:t>
      </w:r>
    </w:p>
    <w:p>
      <w:r>
        <w:rPr>
          <w:i/>
          <w:color w:val="888888"/>
        </w:rPr>
        <w:t>[Image placeholder]</w:t>
      </w:r>
    </w:p>
    <w:p>
      <w:pPr>
        <w:spacing w:before="80" w:after="80"/>
        <w:shd w:fill="E8E8E8" w:val="clear"/>
      </w:pPr>
      <w:r>
        <w:rPr>
          <w:i/>
          <w:color w:val="444444"/>
          <w:sz w:val="18"/>
        </w:rPr>
        <w:t>Speaker Notes: Business overview</w:t>
        <w:br/>
        <w:t>By moving to PolicyCenter, you are implementing a Policy Administration System. Your existing rating content is most likely not ready for the system. While the rating manual stays the same, you need to focus early efforts on adjusting the rating content format so that it works for PolicyCenter.</w:t>
      </w:r>
    </w:p>
    <w:p>
      <w:pPr>
        <w:pStyle w:val="Heading3"/>
      </w:pPr>
      <w:r>
        <w:rPr>
          <w:sz w:val="24"/>
        </w:rPr>
        <w:t>Slide 5/17: (Untitled)</w:t>
      </w:r>
    </w:p>
    <w:p>
      <w:r>
        <w:rPr>
          <w:i/>
          <w:color w:val="888888"/>
        </w:rPr>
        <w:t>[Image placeholder]</w:t>
      </w:r>
    </w:p>
    <w:p>
      <w:pPr>
        <w:spacing w:before="80" w:after="80"/>
        <w:shd w:fill="E8E8E8" w:val="clear"/>
      </w:pPr>
      <w:r>
        <w:rPr>
          <w:i/>
          <w:color w:val="444444"/>
          <w:sz w:val="18"/>
        </w:rPr>
        <w:t>Speaker Notes: Role of the actuary or rating analyst</w:t>
        <w:br/>
        <w:t>Before you can rate using PolicyCenter, actuaries or rating analysts will need to examine the rating content and the format so it makes sense to PolicyCenter.  The rating manual remains the same.</w:t>
        <w:br/>
        <w:br/>
        <w:t>Start at the coverage level, then look at the various aspects that influence the rating.</w:t>
      </w:r>
    </w:p>
    <w:p>
      <w:pPr>
        <w:pStyle w:val="Heading3"/>
      </w:pPr>
      <w:r>
        <w:rPr>
          <w:sz w:val="24"/>
        </w:rPr>
        <w:t>Slide 6/17: (Untitled)</w:t>
      </w:r>
    </w:p>
    <w:p>
      <w:r>
        <w:rPr>
          <w:i/>
          <w:color w:val="888888"/>
        </w:rPr>
        <w:t>[Image placeholder]</w:t>
      </w:r>
    </w:p>
    <w:p>
      <w:pPr>
        <w:spacing w:before="80" w:after="80"/>
        <w:shd w:fill="E8E8E8" w:val="clear"/>
      </w:pPr>
      <w:r>
        <w:rPr>
          <w:i/>
          <w:color w:val="444444"/>
          <w:sz w:val="18"/>
        </w:rPr>
        <w:t>Speaker Notes: PolicyCenter rating overview</w:t>
        <w:br/>
        <w:t>Costs in PolicyCenter determine are where we persist the premium and tax breakdown of a policy. Your goal is to capture cost per risk, cost per policy LOB,  and cost per policy.</w:t>
        <w:br/>
        <w:br/>
        <w:t>Examples of costs include costs rated by vehicle, costs rated by line and cost such as taxes and surcharges.</w:t>
      </w:r>
    </w:p>
    <w:p>
      <w:pPr>
        <w:pStyle w:val="Heading3"/>
      </w:pPr>
      <w:r>
        <w:rPr>
          <w:sz w:val="24"/>
        </w:rPr>
        <w:t>Slide 7/17: (Untitled)</w:t>
      </w:r>
    </w:p>
    <w:p>
      <w:r>
        <w:rPr>
          <w:i/>
          <w:color w:val="888888"/>
        </w:rPr>
        <w:t>[Image placeholder]</w:t>
      </w:r>
    </w:p>
    <w:p>
      <w:pPr>
        <w:spacing w:before="80" w:after="80"/>
        <w:shd w:fill="E8E8E8" w:val="clear"/>
      </w:pPr>
      <w:r>
        <w:rPr>
          <w:i/>
          <w:color w:val="444444"/>
          <w:sz w:val="18"/>
        </w:rPr>
        <w:t>Speaker Notes: Rating components</w:t>
        <w:br/>
        <w:t>Rate books, rate table definitions, rate routines and parameter sets are all components in PolicyCenter Rating Management.</w:t>
      </w:r>
    </w:p>
    <w:p>
      <w:pPr>
        <w:pStyle w:val="Heading3"/>
      </w:pPr>
      <w:r>
        <w:rPr>
          <w:sz w:val="24"/>
        </w:rPr>
        <w:t>Slide 8/17: (Untitled)</w:t>
      </w:r>
    </w:p>
    <w:p>
      <w:r>
        <w:rPr>
          <w:i/>
          <w:color w:val="888888"/>
        </w:rPr>
        <w:t>[Image placeholder]</w:t>
      </w:r>
    </w:p>
    <w:p>
      <w:pPr>
        <w:spacing w:before="80" w:after="80"/>
        <w:shd w:fill="E8E8E8" w:val="clear"/>
      </w:pPr>
      <w:r>
        <w:rPr>
          <w:i/>
          <w:color w:val="444444"/>
          <w:sz w:val="18"/>
        </w:rPr>
        <w:t>Speaker Notes: Preparing content for PolicyCenter rating</w:t>
        <w:br/>
        <w:t>The goal of the rating content •translation" is to arrive at the following components: Costs, Rate Flow, Rate Routines* , Rate Tables*.</w:t>
        <w:br/>
        <w:br/>
        <w:t>The present state of rating determines the work required to transform rating content. Rating content may already exist, but its exact state varies. Any of the following could be true:</w:t>
        <w:br/>
        <w:br/>
        <w:t>1) The rates are available in a spreadsheet for calculation or the rates can be automatically rated using a predetermined formula</w:t>
        <w:br/>
        <w:t>2) A spreadsheet model is available for rate calculation</w:t>
        <w:br/>
        <w:t>3) The rating content exists in a PDF or manual</w:t>
        <w:br/>
        <w:br/>
        <w:t>Rate flow is the logic in the rating engine. It orchestrates the premium calculation for a policy line. Rate Routines and Rate Tables are of particular interest to the actuaries because this is the data with which they have the most familiarity. Rate books are a group of rate tables and rate routines, and the rate flow logic selects the rate book that will be used to access rate tables and rate routines.</w:t>
      </w:r>
    </w:p>
    <w:p>
      <w:pPr>
        <w:pStyle w:val="Heading3"/>
      </w:pPr>
      <w:r>
        <w:rPr>
          <w:sz w:val="24"/>
        </w:rPr>
        <w:t>Slide 9/17: (Untitled)</w:t>
      </w:r>
    </w:p>
    <w:p>
      <w:r>
        <w:rPr>
          <w:i/>
          <w:color w:val="888888"/>
        </w:rPr>
        <w:t>[Image placeholder]</w:t>
      </w:r>
    </w:p>
    <w:p>
      <w:pPr>
        <w:spacing w:before="80" w:after="80"/>
        <w:shd w:fill="E8E8E8" w:val="clear"/>
      </w:pPr>
      <w:r>
        <w:rPr>
          <w:i/>
          <w:color w:val="444444"/>
          <w:sz w:val="18"/>
        </w:rPr>
        <w:t>Speaker Notes: Rating process diagram</w:t>
        <w:br/>
        <w:t>When you quote, PolicyCenter will invoke the rating engine, which select a rate book. The rating engine calls a rate routine for the specific cost item, like coverage. The rating engine then puts together a worksheet, which has the calculated results for the quote. The summary is returned to the quote transactiom</w:t>
      </w:r>
    </w:p>
    <w:p>
      <w:pPr>
        <w:pStyle w:val="Heading3"/>
      </w:pPr>
      <w:r>
        <w:rPr>
          <w:sz w:val="24"/>
        </w:rPr>
        <w:t>Slide 10/17: (Untitled)</w:t>
      </w:r>
    </w:p>
    <w:p>
      <w:r>
        <w:rPr>
          <w:i/>
          <w:color w:val="888888"/>
        </w:rPr>
        <w:t>[Image placeholder]</w:t>
      </w:r>
    </w:p>
    <w:p>
      <w:pPr>
        <w:pStyle w:val="Heading3"/>
      </w:pPr>
      <w:r>
        <w:rPr>
          <w:sz w:val="24"/>
        </w:rPr>
        <w:t>Slide 11/17: (Untitled)</w:t>
      </w:r>
    </w:p>
    <w:p>
      <w:r>
        <w:rPr>
          <w:i/>
          <w:color w:val="888888"/>
        </w:rPr>
        <w:t>[Image placeholder]</w:t>
      </w:r>
    </w:p>
    <w:p>
      <w:pPr>
        <w:spacing w:before="80" w:after="80"/>
        <w:shd w:fill="E8E8E8" w:val="clear"/>
      </w:pPr>
      <w:r>
        <w:rPr>
          <w:i/>
          <w:color w:val="444444"/>
          <w:sz w:val="18"/>
        </w:rPr>
        <w:t>Speaker Notes: Rate tables and rate table definitions</w:t>
        <w:br/>
        <w:t>In PolicyCenter, your rate table implementations may be significantly different from the legacy environments and exported format If necessary,  plan on implementing a conversion between the Rating Management import/export format and the format managed by business users.</w:t>
        <w:br/>
        <w:br/>
        <w:t>For those used to Excel, Rate Tables use the concept of a VLOOKIJP in Excel to access the rate factors.</w:t>
      </w:r>
    </w:p>
    <w:p>
      <w:pPr>
        <w:pStyle w:val="Heading3"/>
      </w:pPr>
      <w:r>
        <w:rPr>
          <w:sz w:val="24"/>
        </w:rPr>
        <w:t>Slide 12/17: (Untitled)</w:t>
      </w:r>
    </w:p>
    <w:p>
      <w:r>
        <w:rPr>
          <w:i/>
          <w:color w:val="888888"/>
        </w:rPr>
        <w:t>[Image placeholder]</w:t>
      </w:r>
    </w:p>
    <w:p>
      <w:pPr>
        <w:spacing w:before="80" w:after="80"/>
        <w:shd w:fill="E8E8E8" w:val="clear"/>
      </w:pPr>
      <w:r>
        <w:rPr>
          <w:i/>
          <w:color w:val="444444"/>
          <w:sz w:val="18"/>
        </w:rPr>
        <w:t>Speaker Notes: Rate routines</w:t>
        <w:br/>
        <w:t>You can use a rate routine to calculate properties on cost for coverages, taxes, and other costs on a policy or to set up rating information for use by another rate routine.</w:t>
      </w:r>
    </w:p>
    <w:p>
      <w:pPr>
        <w:pStyle w:val="Heading3"/>
      </w:pPr>
      <w:r>
        <w:rPr>
          <w:sz w:val="24"/>
        </w:rPr>
        <w:t>Slide 13/17: (Untitled)</w:t>
      </w:r>
    </w:p>
    <w:p>
      <w:r>
        <w:rPr>
          <w:i/>
          <w:color w:val="888888"/>
        </w:rPr>
        <w:t>[Image placeholder]</w:t>
      </w:r>
    </w:p>
    <w:p>
      <w:pPr>
        <w:spacing w:before="80" w:after="80"/>
        <w:shd w:fill="E8E8E8" w:val="clear"/>
      </w:pPr>
      <w:r>
        <w:rPr>
          <w:i/>
          <w:color w:val="444444"/>
          <w:sz w:val="18"/>
        </w:rPr>
        <w:t>Speaker Notes: Rate books</w:t>
        <w:br/>
        <w:t>A rate book can have an implied rate order or rate steps and rate flow can be included in the rate book.</w:t>
      </w:r>
    </w:p>
    <w:p>
      <w:pPr>
        <w:pStyle w:val="Heading3"/>
      </w:pPr>
      <w:r>
        <w:rPr>
          <w:sz w:val="24"/>
        </w:rPr>
        <w:t>Slide 14/17: (Untitled)</w:t>
      </w:r>
    </w:p>
    <w:p>
      <w:r>
        <w:rPr>
          <w:i/>
          <w:color w:val="888888"/>
        </w:rPr>
        <w:t>[Image placeholder]</w:t>
      </w:r>
    </w:p>
    <w:p>
      <w:pPr>
        <w:pStyle w:val="Heading3"/>
      </w:pPr>
      <w:r>
        <w:rPr>
          <w:sz w:val="24"/>
        </w:rPr>
        <w:t>Slide 15/17: (Untitled)</w:t>
      </w:r>
    </w:p>
    <w:p>
      <w:r>
        <w:rPr>
          <w:i/>
          <w:color w:val="888888"/>
        </w:rPr>
        <w:t>[Image placeholder]</w:t>
      </w:r>
    </w:p>
    <w:p>
      <w:pPr>
        <w:pStyle w:val="Heading3"/>
      </w:pPr>
      <w:r>
        <w:rPr>
          <w:sz w:val="24"/>
        </w:rPr>
        <w:t>Slide 16/17: (Untitled)</w:t>
      </w:r>
    </w:p>
    <w:p>
      <w:r>
        <w:rPr>
          <w:i/>
          <w:color w:val="888888"/>
        </w:rPr>
        <w:t>[Image placeholder]</w:t>
      </w:r>
    </w:p>
    <w:p>
      <w:pPr>
        <w:pStyle w:val="Heading3"/>
      </w:pPr>
      <w:r>
        <w:rPr>
          <w:sz w:val="24"/>
        </w:rPr>
        <w:t>Slide 17/17: (Untitled)</w:t>
      </w:r>
    </w:p>
    <w:p>
      <w:r>
        <w:rPr>
          <w:i/>
          <w:color w:val="888888"/>
        </w:rPr>
        <w:t>[Image placeholder]</w:t>
      </w:r>
    </w:p>
    <w:p>
      <w:pPr>
        <w:pStyle w:val="Heading2"/>
      </w:pPr>
      <w:r>
        <w:t>Assignment</w:t>
      </w:r>
    </w:p>
    <w:p>
      <w:r>
        <w:rPr>
          <w:b/>
          <w:color w:val="008800"/>
        </w:rPr>
        <w:t>[Assignment 30]: 30_Rating Basics</w:t>
      </w:r>
    </w:p>
    <w:p>
      <w:r>
        <w:rPr>
          <w:i/>
          <w:sz w:val="18"/>
        </w:rPr>
        <w:t>File: 30_Rating Basics.pdf</w:t>
      </w:r>
    </w:p>
    <w:p/>
    <w:p>
      <w:pPr>
        <w:spacing w:before="240"/>
        <w:jc w:val="center"/>
      </w:pPr>
      <w:r>
        <w:rPr>
          <w:i/>
          <w:color w:val="999999"/>
          <w:sz w:val="16"/>
        </w:rPr>
        <w:t>--- End of Lesson 30: Rating Basics | 17 slides | 47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