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2: Introduction to Claim Maintenance</w:t>
      </w:r>
    </w:p>
    <w:p>
      <w:pPr>
        <w:spacing w:after="40"/>
      </w:pPr>
      <w:r>
        <w:rPr>
          <w:i/>
          <w:color w:val="999999"/>
          <w:sz w:val="16"/>
        </w:rPr>
        <w:t>Source: IS_Claim__02_Introduction to Claim Maintenance.pptx</w:t>
      </w:r>
    </w:p>
    <w:p>
      <w:pPr>
        <w:pStyle w:val="Heading3"/>
      </w:pPr>
      <w:r>
        <w:t>Video References</w:t>
      </w:r>
    </w:p>
    <w:p>
      <w:pPr>
        <w:pStyle w:val="ListNumber"/>
      </w:pPr>
      <w:r>
        <w:rPr>
          <w:color w:val="0066CC"/>
          <w:sz w:val="20"/>
        </w:rPr>
        <w:t>[Video 1: IS_Claim_01_02.mp4]</w:t>
      </w:r>
    </w:p>
    <w:p>
      <w:pPr>
        <w:pStyle w:val="ListNumber"/>
      </w:pPr>
      <w:r>
        <w:rPr>
          <w:color w:val="0066CC"/>
          <w:sz w:val="20"/>
        </w:rPr>
        <w:t>[Video 2: IS_Claim_02_01.mp4]</w:t>
      </w:r>
    </w:p>
    <w:p>
      <w:pPr>
        <w:pStyle w:val="ListNumber"/>
      </w:pPr>
      <w:r>
        <w:rPr>
          <w:color w:val="0066CC"/>
          <w:sz w:val="20"/>
        </w:rPr>
        <w:t>[Video 3: IS_Claim_02_02.mp4]</w:t>
      </w:r>
    </w:p>
    <w:p>
      <w:pPr>
        <w:pStyle w:val="ListNumber"/>
      </w:pPr>
      <w:r>
        <w:rPr>
          <w:color w:val="0066CC"/>
          <w:sz w:val="20"/>
        </w:rPr>
        <w:t>[Video 4: IS_Claim_02_03.mp4]</w:t>
      </w:r>
    </w:p>
    <w:p>
      <w:pPr>
        <w:pStyle w:val="ListNumber"/>
      </w:pPr>
      <w:r>
        <w:rPr>
          <w:color w:val="0066CC"/>
          <w:sz w:val="20"/>
        </w:rPr>
        <w:t>[Video 5: IS_Claim_05_02.mp4]</w:t>
      </w:r>
    </w:p>
    <w:p>
      <w:pPr>
        <w:pStyle w:val="ListNumber"/>
      </w:pPr>
      <w:r>
        <w:rPr>
          <w:color w:val="0066CC"/>
          <w:sz w:val="20"/>
        </w:rPr>
        <w:t>[Video 6: IS_Claim_06_02.mp4]</w:t>
      </w:r>
    </w:p>
    <w:p>
      <w:pPr>
        <w:pStyle w:val="ListNumber"/>
      </w:pPr>
      <w:r>
        <w:rPr>
          <w:color w:val="0066CC"/>
          <w:sz w:val="20"/>
        </w:rPr>
        <w:t>[Video 7: IS_Claim_07_02.mp4]</w:t>
      </w:r>
    </w:p>
    <w:p>
      <w:pPr>
        <w:pStyle w:val="ListNumber"/>
      </w:pPr>
      <w:r>
        <w:rPr>
          <w:color w:val="0066CC"/>
          <w:sz w:val="20"/>
        </w:rPr>
        <w:t>[Video 8: IS_Claim_08_02.mp4]</w:t>
      </w:r>
    </w:p>
    <w:p>
      <w:pPr>
        <w:pStyle w:val="ListNumber"/>
      </w:pPr>
      <w:r>
        <w:rPr>
          <w:color w:val="0066CC"/>
          <w:sz w:val="20"/>
        </w:rPr>
        <w:t>[Video 9: IS_Claim_10_02.mp4]</w:t>
      </w:r>
    </w:p>
    <w:p>
      <w:pPr>
        <w:pStyle w:val="ListNumber"/>
      </w:pPr>
      <w:r>
        <w:rPr>
          <w:color w:val="0066CC"/>
          <w:sz w:val="20"/>
        </w:rPr>
        <w:t>[Video 10: IS_Claim_11_02.mp4]</w:t>
      </w:r>
    </w:p>
    <w:p>
      <w:pPr>
        <w:pStyle w:val="ListNumber"/>
      </w:pPr>
      <w:r>
        <w:rPr>
          <w:color w:val="0066CC"/>
          <w:sz w:val="20"/>
        </w:rPr>
        <w:t>[Video 11: IS_Claim_14_02.mp4]</w:t>
      </w:r>
    </w:p>
    <w:p>
      <w:pPr>
        <w:pStyle w:val="ListNumber"/>
      </w:pPr>
      <w:r>
        <w:rPr>
          <w:color w:val="0066CC"/>
          <w:sz w:val="20"/>
        </w:rPr>
        <w:t>[Video 12: IS_Claim_15_02.mp4]</w:t>
      </w:r>
    </w:p>
    <w:p>
      <w:pPr>
        <w:pStyle w:val="ListNumber"/>
      </w:pPr>
      <w:r>
        <w:rPr>
          <w:color w:val="0066CC"/>
          <w:sz w:val="20"/>
        </w:rPr>
        <w:t>[Video 13: IS_Claim_16_02.mp4]</w:t>
      </w:r>
    </w:p>
    <w:p>
      <w:pPr>
        <w:pStyle w:val="ListNumber"/>
      </w:pPr>
      <w:r>
        <w:rPr>
          <w:color w:val="0066CC"/>
          <w:sz w:val="20"/>
        </w:rPr>
        <w:t>[Video 14: IS_Claim_17_02.mp4]</w:t>
      </w:r>
    </w:p>
    <w:p>
      <w:pPr>
        <w:pStyle w:val="ListNumber"/>
      </w:pPr>
      <w:r>
        <w:rPr>
          <w:color w:val="0066CC"/>
          <w:sz w:val="20"/>
        </w:rPr>
        <w:t>[Video 15: IS_Claim_18_02.mp4]</w:t>
      </w:r>
    </w:p>
    <w:p>
      <w:pPr>
        <w:pStyle w:val="ListNumber"/>
      </w:pPr>
      <w:r>
        <w:rPr>
          <w:color w:val="0066CC"/>
          <w:sz w:val="20"/>
        </w:rPr>
        <w:t>[Video 16: IS_Claim_19_02.mp4]</w:t>
      </w:r>
    </w:p>
    <w:p/>
    <w:p>
      <w:pPr>
        <w:pStyle w:val="Heading2"/>
      </w:pPr>
      <w:r>
        <w:t>Slide Content</w:t>
      </w:r>
    </w:p>
    <w:p>
      <w:pPr>
        <w:pStyle w:val="Heading3"/>
      </w:pPr>
      <w:r>
        <w:rPr>
          <w:sz w:val="24"/>
        </w:rPr>
        <w:t>Slide 1/37: (Untitled)</w:t>
      </w:r>
    </w:p>
    <w:p>
      <w:r>
        <w:rPr>
          <w:i/>
          <w:color w:val="888888"/>
        </w:rPr>
        <w:t>[Image placeholder]</w:t>
      </w:r>
    </w:p>
    <w:p>
      <w:pPr>
        <w:pStyle w:val="Heading3"/>
      </w:pPr>
      <w:r>
        <w:rPr>
          <w:sz w:val="24"/>
        </w:rPr>
        <w:t>Slide 2/37: (Untitled)</w:t>
      </w:r>
    </w:p>
    <w:p>
      <w:r>
        <w:rPr>
          <w:i/>
          <w:color w:val="888888"/>
        </w:rPr>
        <w:t>[Image placeholder]</w:t>
      </w:r>
    </w:p>
    <w:p>
      <w:pPr>
        <w:pStyle w:val="Heading3"/>
      </w:pPr>
      <w:r>
        <w:rPr>
          <w:sz w:val="24"/>
        </w:rPr>
        <w:t>Slide 3/37: (Untitled)</w:t>
      </w:r>
    </w:p>
    <w:p>
      <w:r>
        <w:rPr>
          <w:i/>
          <w:color w:val="888888"/>
        </w:rPr>
        <w:t>[Image placeholder]</w:t>
      </w:r>
    </w:p>
    <w:p>
      <w:pPr>
        <w:spacing w:before="80" w:after="80"/>
        <w:shd w:fill="E8E8E8" w:val="clear"/>
      </w:pPr>
      <w:r>
        <w:rPr>
          <w:i/>
          <w:color w:val="444444"/>
          <w:sz w:val="18"/>
        </w:rPr>
        <w:t>Speaker Notes: Policy and coverages</w:t>
        <w:br/>
        <w:t>ClaimCenter does not manage policies and is not the system of record for policies. Instead, it is integrated with an extemal policy administration system (PAS). Whenever information about a policy is needed, the PAS is queried and the relevant information copied over to ClaimCenter-</w:t>
        <w:br/>
        <w:br/>
        <w:t>Unlike other elements of the Claim file, there is only one Policy.</w:t>
      </w:r>
    </w:p>
    <w:p>
      <w:pPr>
        <w:pStyle w:val="Heading3"/>
      </w:pPr>
      <w:r>
        <w:rPr>
          <w:sz w:val="24"/>
        </w:rPr>
        <w:t>Slide 4/37: (Untitled)</w:t>
      </w:r>
    </w:p>
    <w:p>
      <w:r>
        <w:rPr>
          <w:i/>
          <w:color w:val="888888"/>
        </w:rPr>
        <w:t>[Image placeholder]</w:t>
      </w:r>
    </w:p>
    <w:p>
      <w:pPr>
        <w:spacing w:before="80" w:after="80"/>
        <w:shd w:fill="E8E8E8" w:val="clear"/>
      </w:pPr>
      <w:r>
        <w:rPr>
          <w:i/>
          <w:color w:val="444444"/>
          <w:sz w:val="18"/>
        </w:rPr>
        <w:t>Speaker Notes: Policy and coverages</w:t>
        <w:br/>
        <w:t>ClaimCenter does not manage policies and is not the system of record for policies. Instead, it is integrated with an extemal policy administration system (PAS). Whenever information about a policy is needed, the PAS is queried and the relevant information copied over to ClaimCenter-</w:t>
        <w:br/>
        <w:br/>
        <w:t>Unlike other elements of the Claim file, there is only one Policy.</w:t>
      </w:r>
    </w:p>
    <w:p>
      <w:pPr>
        <w:pStyle w:val="Heading3"/>
      </w:pPr>
      <w:r>
        <w:rPr>
          <w:sz w:val="24"/>
        </w:rPr>
        <w:t>Slide 5/37: (Untitled)</w:t>
      </w:r>
    </w:p>
    <w:p>
      <w:r>
        <w:rPr>
          <w:i/>
          <w:color w:val="888888"/>
        </w:rPr>
        <w:t>[Image placeholder]</w:t>
      </w:r>
    </w:p>
    <w:p>
      <w:pPr>
        <w:spacing w:before="80" w:after="80"/>
        <w:shd w:fill="E8E8E8" w:val="clear"/>
      </w:pPr>
      <w:r>
        <w:rPr>
          <w:i/>
          <w:color w:val="444444"/>
          <w:sz w:val="18"/>
        </w:rPr>
        <w:t>Speaker Notes: A coverage applies for the claim depending on:</w:t>
        <w:br/>
        <w:br/>
        <w:t>Policy effective date</w:t>
        <w:br/>
        <w:br/>
        <w:t>Exclusions</w:t>
        <w:br/>
        <w:br/>
        <w:t>Terms such as limits and deductibles</w:t>
        <w:br/>
        <w:br/>
        <w:t>Initially, a claim must be described as an event in which potentially covered losses occurred. One aspect of the claims process is to reference the relevant policy to ensure that the loss was in fact covered.</w:t>
        <w:br/>
        <w:br/>
        <w:t>Even if there is a coverage on the policy, the loss may not be covered because:</w:t>
        <w:br/>
        <w:br/>
        <w:t>It occurred when the policy was not in effect.</w:t>
        <w:br/>
        <w:br/>
        <w:t>It was a kind of loss specifically excluded from a policy (such as a homeowners policy which specifically excludes earthquake damage).</w:t>
        <w:br/>
        <w:br/>
        <w:t>The amount of loss is outside of the terms of the coverage (such as $250 damage from a collision and a collision coverage with a deductible of $500).</w:t>
      </w:r>
    </w:p>
    <w:p>
      <w:pPr>
        <w:pStyle w:val="Heading3"/>
      </w:pPr>
      <w:r>
        <w:rPr>
          <w:sz w:val="24"/>
        </w:rPr>
        <w:t>Slide 6/37: (Untitled)</w:t>
      </w:r>
    </w:p>
    <w:p>
      <w:r>
        <w:rPr>
          <w:i/>
          <w:color w:val="888888"/>
        </w:rPr>
        <w:t>[Image placeholder]</w:t>
      </w:r>
    </w:p>
    <w:p>
      <w:pPr>
        <w:spacing w:before="80" w:after="80"/>
        <w:shd w:fill="E8E8E8" w:val="clear"/>
      </w:pPr>
      <w:r>
        <w:rPr>
          <w:i/>
          <w:color w:val="444444"/>
          <w:sz w:val="18"/>
        </w:rPr>
        <w:t>Speaker Notes: Contacts</w:t>
        <w:br/>
        <w:t>Contacts are typically captured when the claim is first created. Some information about contacts may need to be gathered later,  but ideally an intake process captures all information about the •who". Each contact involved in a claim must have one or more roles, such as a reporter, claimant, witness, doctor, attorney, repair shop, and so on.This concept will be explained later in the lesson.</w:t>
        <w:br/>
        <w:br/>
        <w:t>Contacts may be thought of as being involved either in the loss  (such as an injured person or a company who's property has been stolen), or involved  providing services (such as auto service vendors or property restoration or repair).</w:t>
      </w:r>
    </w:p>
    <w:p>
      <w:pPr>
        <w:pStyle w:val="Heading3"/>
      </w:pPr>
      <w:r>
        <w:rPr>
          <w:sz w:val="24"/>
        </w:rPr>
        <w:t>Slide 7/37: (Untitled)</w:t>
      </w:r>
    </w:p>
    <w:p>
      <w:r>
        <w:rPr>
          <w:i/>
          <w:color w:val="888888"/>
        </w:rPr>
        <w:t>[Image placeholder]</w:t>
      </w:r>
    </w:p>
    <w:p>
      <w:pPr>
        <w:spacing w:before="80" w:after="80"/>
        <w:shd w:fill="E8E8E8" w:val="clear"/>
      </w:pPr>
      <w:r>
        <w:rPr>
          <w:i/>
          <w:color w:val="444444"/>
          <w:sz w:val="18"/>
        </w:rPr>
        <w:t>Speaker Notes: Incidents</w:t>
        <w:br/>
        <w:t>Incidents are typically captured when the claim is first created. Some information about incidents may need to be gathered later, but the most ideal circumstance involves an intake process in which all the information about the "what" is captured.</w:t>
        <w:br/>
        <w:br/>
        <w:t>Technically speaking, if incident is defined as "an item that suffered damage", then in a claim where a person is hurt, the incident should be called a "body incident". However, the term "injury incident" is more common in the industry and has been adopted by ClaimCenter</w:t>
      </w:r>
    </w:p>
    <w:p>
      <w:pPr>
        <w:pStyle w:val="Heading3"/>
      </w:pPr>
      <w:r>
        <w:rPr>
          <w:sz w:val="24"/>
        </w:rPr>
        <w:t>Slide 8/37: (Untitled)</w:t>
      </w:r>
    </w:p>
    <w:p>
      <w:r>
        <w:rPr>
          <w:i/>
          <w:color w:val="888888"/>
        </w:rPr>
        <w:t>[Image placeholder]</w:t>
      </w:r>
    </w:p>
    <w:p>
      <w:pPr>
        <w:spacing w:before="80" w:after="80"/>
        <w:shd w:fill="E8E8E8" w:val="clear"/>
      </w:pPr>
      <w:r>
        <w:rPr>
          <w:i/>
          <w:color w:val="444444"/>
          <w:sz w:val="18"/>
        </w:rPr>
        <w:t>Speaker Notes: Service Requests</w:t>
        <w:br/>
        <w:t>Service Requests are created either when the claim is first created and saved, or after initial claim creation. When services are created in ClaimCenter, they are automatically submitted to vendors. That way, service requests are submitted as soon as possible and vendors receive these requests typically through a vendor portal. The service request can be for a quote to compare prices, a service to be performed, or for both a quoteand service. The vendor can start</w:t>
        <w:br/>
        <w:t>work right away, specify a time frame for completion, delay the request or decline the request Typically, a Service is tied to an incident such as requesting physical therapy or skilled nursing for a recuperating patient.</w:t>
        <w:br/>
        <w:br/>
        <w:t>Technically, the name of the entity in ClaimCenter is Service Request, but for the purposes of training the terms Service and Service Request are interchangeable.</w:t>
      </w:r>
    </w:p>
    <w:p>
      <w:pPr>
        <w:pStyle w:val="Heading3"/>
      </w:pPr>
      <w:r>
        <w:rPr>
          <w:sz w:val="24"/>
        </w:rPr>
        <w:t>Slide 9/37: (Untitled)</w:t>
      </w:r>
    </w:p>
    <w:p>
      <w:r>
        <w:rPr>
          <w:i/>
          <w:color w:val="888888"/>
        </w:rPr>
        <w:t>[Image placeholder]</w:t>
      </w:r>
    </w:p>
    <w:p>
      <w:pPr>
        <w:spacing w:before="80" w:after="80"/>
        <w:shd w:fill="E8E8E8" w:val="clear"/>
      </w:pPr>
      <w:r>
        <w:rPr>
          <w:i/>
          <w:color w:val="444444"/>
          <w:sz w:val="18"/>
        </w:rPr>
        <w:t>Speaker Notes: Exposures</w:t>
        <w:br/>
        <w:t>For many claims, a single occurrence of loss involves more than one coverage, and more than one claimant Exposures are the mechanism used by ClaimCenter for tracking the progress of each possible indemnity. (An indemnity is a payment in compensation for a loss. In Worker's Compensation, this is typically medical expenses and compensation for lost wages.)</w:t>
        <w:br/>
        <w:br/>
        <w:t>The term exposure is used differently in ClaimCenter than it is in PAS systems. The underwriter looks upon the possible coverages as exposures, while in CC it is the coverages that are deemed in effect that led to the creation of a particular exposure (for a particular claimant).</w:t>
      </w:r>
    </w:p>
    <w:p>
      <w:pPr>
        <w:pStyle w:val="Heading3"/>
      </w:pPr>
      <w:r>
        <w:rPr>
          <w:sz w:val="24"/>
        </w:rPr>
        <w:t>Slide 10/37: (Untitled)</w:t>
      </w:r>
    </w:p>
    <w:p>
      <w:r>
        <w:rPr>
          <w:i/>
          <w:color w:val="888888"/>
        </w:rPr>
        <w:t>[Image placeholder]</w:t>
      </w:r>
    </w:p>
    <w:p>
      <w:r>
        <w:rPr>
          <w:i/>
          <w:color w:val="888888"/>
        </w:rPr>
        <w:t>[Image placeholder]</w:t>
      </w:r>
    </w:p>
    <w:p>
      <w:r>
        <w:rPr>
          <w:i/>
          <w:color w:val="888888"/>
        </w:rPr>
        <w:t>[Image placeholder]</w:t>
      </w:r>
    </w:p>
    <w:p>
      <w:pPr>
        <w:spacing w:before="80" w:after="80"/>
        <w:shd w:fill="E8E8E8" w:val="clear"/>
      </w:pPr>
      <w:r>
        <w:rPr>
          <w:i/>
          <w:color w:val="444444"/>
          <w:sz w:val="18"/>
        </w:rPr>
        <w:t>Speaker Notes: Activities</w:t>
        <w:br/>
        <w:t xml:space="preserve">Every activity is ultimately assigned to a user, who is responsible for completing the task. The activity identifies when the task is expected to be done (due date) and whether it has been done or not (status). Theoretically, one could say the process of processing a claim is identical to the process of completing its activities. </w:t>
        <w:br/>
        <w:br/>
        <w:t>Legacy claim systems often have a "diary" feature. This feature is used to manage claim-handling activities. A user can indicate that he or she (or someone else) has to look at a claim on a particular day. Typically, you can type a short note to remind yourself oranother user why you should lookat this claim on a particular day The diary feature is often limited, particularly in terms of how much text you can enter and how the visibility of this text is controlled,the number of references a given user can make for a claim on a given day (often limited to one), and the logic behind how diary activities get assigned.</w:t>
        <w:br/>
        <w:br/>
        <w:t>ClaimCenter replaces the traditional diary with two features: activities and notes. Activities let both users and the system create and assign tasks. Activity assignment can be done manually or through a robust set of assignment rules.</w:t>
      </w:r>
    </w:p>
    <w:p>
      <w:pPr>
        <w:pStyle w:val="Heading3"/>
      </w:pPr>
      <w:r>
        <w:rPr>
          <w:sz w:val="24"/>
        </w:rPr>
        <w:t>Slide 11/37: (Untitled)</w:t>
      </w:r>
    </w:p>
    <w:p>
      <w:r>
        <w:rPr>
          <w:i/>
          <w:color w:val="888888"/>
        </w:rPr>
        <w:t>[Image placeholder]</w:t>
      </w:r>
    </w:p>
    <w:p>
      <w:pPr>
        <w:spacing w:before="80" w:after="80"/>
        <w:shd w:fill="E8E8E8" w:val="clear"/>
      </w:pPr>
      <w:r>
        <w:rPr>
          <w:i/>
          <w:color w:val="444444"/>
          <w:sz w:val="18"/>
        </w:rPr>
        <w:t>Speaker Notes: Documents</w:t>
        <w:br/>
        <w:t>A document is an electronic file or physical piece of paper which contains information relevant to the claim, such as:</w:t>
        <w:br/>
        <w:br/>
        <w:t>• First Report of Injury (FROI)</w:t>
        <w:br/>
        <w:br/>
        <w:t>Medical diagnosis</w:t>
        <w:br/>
        <w:br/>
        <w:t>Documents can be used to:</w:t>
        <w:br/>
        <w:br/>
        <w:t>Track information on physical pieces of paper (such as diagrams of the floor plan for a workplace, assessments from mechanics, or diagnoses from a doctor)</w:t>
        <w:br/>
        <w:br/>
        <w:t>Track information that exists electronically (such as email correspondences, word processing documents that were mailed to the insured, and scanned photographs of property that was stolen)</w:t>
        <w:br/>
        <w:br/>
        <w:t>Unlike the other objects, which are often created automatically by ClaimCenter, documents are typically created manually by users.</w:t>
      </w:r>
    </w:p>
    <w:p>
      <w:pPr>
        <w:pStyle w:val="Heading3"/>
      </w:pPr>
      <w:r>
        <w:rPr>
          <w:sz w:val="24"/>
        </w:rPr>
        <w:t>Slide 12/37: (Untitled)</w:t>
      </w:r>
    </w:p>
    <w:p>
      <w:r>
        <w:rPr>
          <w:i/>
          <w:color w:val="888888"/>
        </w:rPr>
        <w:t>[Image placeholder]</w:t>
      </w:r>
    </w:p>
    <w:p>
      <w:pPr>
        <w:spacing w:before="80" w:after="80"/>
        <w:shd w:fill="E8E8E8" w:val="clear"/>
      </w:pPr>
      <w:r>
        <w:rPr>
          <w:i/>
          <w:color w:val="444444"/>
          <w:sz w:val="18"/>
        </w:rPr>
        <w:t>Speaker Notes: Notes</w:t>
        <w:br/>
        <w:t>A note is a detailed record of the actions or thinking behind the processing of a claim.</w:t>
        <w:br/>
        <w:t>Activities let both users and the system create and assign tasks. Activity assignment can be done manually or through a robust setof assignment rules. Notes let users record information about a claim and associate it to the relevant part of the claim (such as the claim itself, a contact on the claim, or an exposure) without having to tie the note to a specific date or user. Robust visibility rules can control who can view and/or edit the note. Notes may be manually created by users or generated automatically by ClaimCenter.</w:t>
      </w:r>
    </w:p>
    <w:p>
      <w:pPr>
        <w:pStyle w:val="Heading3"/>
      </w:pPr>
      <w:r>
        <w:rPr>
          <w:sz w:val="24"/>
        </w:rPr>
        <w:t>Slide 13/37: (Untitled)</w:t>
      </w:r>
    </w:p>
    <w:p>
      <w:r>
        <w:rPr>
          <w:i/>
          <w:color w:val="888888"/>
        </w:rPr>
        <w:t>[Image placeholder]</w:t>
      </w:r>
    </w:p>
    <w:p>
      <w:pPr>
        <w:spacing w:before="80" w:after="80"/>
        <w:shd w:fill="E8E8E8" w:val="clear"/>
      </w:pPr>
      <w:r>
        <w:rPr>
          <w:i/>
          <w:color w:val="444444"/>
          <w:sz w:val="18"/>
        </w:rPr>
        <w:t>Speaker Notes: Matters</w:t>
        <w:br/>
        <w:t>Matters track information such as case numbers, court dates, and primary attorneys.</w:t>
      </w:r>
    </w:p>
    <w:p>
      <w:pPr>
        <w:pStyle w:val="Heading3"/>
      </w:pPr>
      <w:r>
        <w:rPr>
          <w:sz w:val="24"/>
        </w:rPr>
        <w:t>Slide 14/37: (Untitled)</w:t>
      </w:r>
    </w:p>
    <w:p>
      <w:r>
        <w:rPr>
          <w:i/>
          <w:color w:val="888888"/>
        </w:rPr>
        <w:t>[Image placeholder]</w:t>
      </w:r>
    </w:p>
    <w:p>
      <w:pPr>
        <w:spacing w:before="80" w:after="80"/>
        <w:shd w:fill="E8E8E8" w:val="clear"/>
      </w:pPr>
      <w:r>
        <w:rPr>
          <w:i/>
          <w:color w:val="444444"/>
          <w:sz w:val="18"/>
        </w:rPr>
        <w:t>Speaker Notes: Reserve lines</w:t>
        <w:br/>
        <w:t>A reserve line can be thought of as a "T-account" set aside for one specific aspect of exposure processing. It both credits and debits, and its size is equal to the sum of the credits minus the sum of the debits. Every exposure may have one or more reserve lines.  A single exposure might have a single reserve line associated to it. It could also have several reserve lines associated with it if there are multiple "sets" of money for different purposes that must be tracked differently. (For example, an exposure for a collision coverage could have separate reserve lines for auto body damage and glass damage because the carrier tracks these two types of payments differently.)</w:t>
      </w:r>
    </w:p>
    <w:p>
      <w:pPr>
        <w:pStyle w:val="Heading3"/>
      </w:pPr>
      <w:r>
        <w:rPr>
          <w:sz w:val="24"/>
        </w:rPr>
        <w:t>Slide 15/37: (Untitled)</w:t>
      </w:r>
    </w:p>
    <w:p>
      <w:r>
        <w:rPr>
          <w:i/>
          <w:color w:val="888888"/>
        </w:rPr>
        <w:t>[Image placeholder]</w:t>
      </w:r>
    </w:p>
    <w:p>
      <w:pPr>
        <w:spacing w:before="80" w:after="80"/>
        <w:shd w:fill="E8E8E8" w:val="clear"/>
      </w:pPr>
      <w:r>
        <w:rPr>
          <w:i/>
          <w:color w:val="444444"/>
          <w:sz w:val="18"/>
        </w:rPr>
        <w:t>Speaker Notes: Checks</w:t>
        <w:br/>
        <w:t>A single reserve line might have a single check associated with it. It could also have several checks associated with it if:</w:t>
        <w:br/>
        <w:br/>
        <w:t>There are multiple payments (such as a recurring payment to treat ongoing medical care).</w:t>
        <w:br/>
        <w:br/>
        <w:t xml:space="preserve">There are multiple payees (such as a circumstance of litigation where the claimant gets 80% of the settlement and the lawyer gets 20% of the settlement). </w:t>
        <w:br/>
        <w:br/>
        <w:t>A check can be a physical check or an EFT (electronic funds transfer)</w:t>
      </w:r>
    </w:p>
    <w:p>
      <w:pPr>
        <w:pStyle w:val="Heading3"/>
      </w:pPr>
      <w:r>
        <w:rPr>
          <w:sz w:val="24"/>
        </w:rPr>
        <w:t>Slide 16/37: (Untitled)</w:t>
      </w:r>
    </w:p>
    <w:p>
      <w:r>
        <w:rPr>
          <w:i/>
          <w:color w:val="888888"/>
        </w:rPr>
        <w:t>[Image placeholder]</w:t>
      </w:r>
    </w:p>
    <w:p>
      <w:pPr>
        <w:pStyle w:val="Heading3"/>
      </w:pPr>
      <w:r>
        <w:rPr>
          <w:sz w:val="24"/>
        </w:rPr>
        <w:t>Slide 17/37: (Untitled)</w:t>
      </w:r>
    </w:p>
    <w:p>
      <w:r>
        <w:rPr>
          <w:i/>
          <w:color w:val="888888"/>
        </w:rPr>
        <w:t>[Image placeholder]</w:t>
      </w:r>
    </w:p>
    <w:p>
      <w:pPr>
        <w:pStyle w:val="Heading3"/>
      </w:pPr>
      <w:r>
        <w:rPr>
          <w:sz w:val="24"/>
        </w:rPr>
        <w:t>Slide 18/37: (Untitled)</w:t>
      </w:r>
    </w:p>
    <w:p>
      <w:pPr>
        <w:pStyle w:val="Heading3"/>
      </w:pPr>
      <w:r>
        <w:rPr>
          <w:sz w:val="24"/>
        </w:rPr>
        <w:t>Slide 19/37: (Untitled)</w:t>
      </w:r>
    </w:p>
    <w:p>
      <w:r>
        <w:rPr>
          <w:i/>
          <w:color w:val="888888"/>
        </w:rPr>
        <w:t>[Image placeholder]</w:t>
      </w:r>
    </w:p>
    <w:p>
      <w:pPr>
        <w:pStyle w:val="Heading3"/>
      </w:pPr>
      <w:r>
        <w:rPr>
          <w:sz w:val="24"/>
        </w:rPr>
        <w:t>Slide 20/37: (Untitled)</w:t>
      </w:r>
    </w:p>
    <w:p>
      <w:r>
        <w:rPr>
          <w:i/>
          <w:color w:val="888888"/>
        </w:rPr>
        <w:t>[Image placeholder]</w:t>
      </w:r>
    </w:p>
    <w:p>
      <w:pPr>
        <w:pStyle w:val="Heading3"/>
      </w:pPr>
      <w:r>
        <w:rPr>
          <w:sz w:val="24"/>
        </w:rPr>
        <w:t>Slide 21/37: (Untitled)</w:t>
      </w:r>
    </w:p>
    <w:p>
      <w:pPr>
        <w:pStyle w:val="Heading3"/>
      </w:pPr>
      <w:r>
        <w:rPr>
          <w:sz w:val="24"/>
        </w:rPr>
        <w:t>Slide 22/37: (Untitled)</w:t>
      </w:r>
    </w:p>
    <w:p>
      <w:r>
        <w:rPr>
          <w:i/>
          <w:color w:val="888888"/>
        </w:rPr>
        <w:t>[Image placeholder]</w:t>
      </w:r>
    </w:p>
    <w:p>
      <w:pPr>
        <w:pStyle w:val="Heading3"/>
      </w:pPr>
      <w:r>
        <w:rPr>
          <w:sz w:val="24"/>
        </w:rPr>
        <w:t>Slide 23/37: (Untitled)</w:t>
      </w:r>
    </w:p>
    <w:p>
      <w:r>
        <w:rPr>
          <w:i/>
          <w:color w:val="888888"/>
        </w:rPr>
        <w:t>[Image placeholder]</w:t>
      </w:r>
    </w:p>
    <w:p>
      <w:pPr>
        <w:pStyle w:val="Heading3"/>
      </w:pPr>
      <w:r>
        <w:rPr>
          <w:sz w:val="24"/>
        </w:rPr>
        <w:t>Slide 24/37: (Untitled)</w:t>
      </w:r>
    </w:p>
    <w:p>
      <w:pPr>
        <w:pStyle w:val="Heading3"/>
      </w:pPr>
      <w:r>
        <w:rPr>
          <w:sz w:val="24"/>
        </w:rPr>
        <w:t>Slide 25/37: (Untitled)</w:t>
      </w:r>
    </w:p>
    <w:p>
      <w:r>
        <w:rPr>
          <w:i/>
          <w:color w:val="888888"/>
        </w:rPr>
        <w:t>[Image placeholder]</w:t>
      </w:r>
    </w:p>
    <w:p>
      <w:pPr>
        <w:spacing w:before="80" w:after="80"/>
        <w:shd w:fill="E8E8E8" w:val="clear"/>
      </w:pPr>
      <w:r>
        <w:rPr>
          <w:i/>
          <w:color w:val="444444"/>
          <w:sz w:val="18"/>
        </w:rPr>
        <w:t>Speaker Notes: Virtual Machine Instructions</w:t>
        <w:br/>
        <w:t xml:space="preserve">If you have access to a VM as part of your course, you would have received an email from Cloud Share which contains a link and instructions to start your VM. Start the VM now.  Once the VM has started,  follow these steps to start the Claim Center application: </w:t>
        <w:br/>
        <w:t>1. Locate the Claim Center Shortcuts folder on the Desktop</w:t>
        <w:br/>
        <w:t>2. Open the Claim Center Shortcuts folder</w:t>
        <w:br/>
        <w:t>3. From the file list double- click Start Claim Center</w:t>
        <w:br/>
        <w:t xml:space="preserve">4. This will open a command prompt window. Several messages related to </w:t>
        <w:br/>
        <w:t>Claim Center's startup appear in the window. When the steps are finished, you will see the following message in the command prompt window.</w:t>
        <w:br/>
        <w:t>Claim Center ready Leave the command window</w:t>
        <w:br/>
        <w:t>open (minimize if needed It is easy to miss the "ready“ message since Claim Center continues to process activities after displaying the notice. If you have waited three minutes or more without seeing the message, go to step 4 and open Chrome- The percentage will remain at it may be disregarded.</w:t>
        <w:br/>
        <w:t>5. Open Chrome from the bottom bar of the VM</w:t>
        <w:br/>
        <w:t>6. In the browser, connect to the following URL: http://localhost:8080/cc/Claim Center-do</w:t>
        <w:br/>
        <w:t>7. When you are finished working on training for the day, you must manually Stop the application server To stop the Claim Center server, click on the Stop Claim Center shortcut in the folder Claim Center Shortcuts. This will open a command prompt window to shutdown Claim Center.</w:t>
      </w:r>
    </w:p>
    <w:p>
      <w:pPr>
        <w:pStyle w:val="Heading3"/>
      </w:pPr>
      <w:r>
        <w:rPr>
          <w:sz w:val="24"/>
        </w:rPr>
        <w:t>Slide 26/37: (Untitled)</w:t>
      </w:r>
    </w:p>
    <w:p>
      <w:r>
        <w:rPr>
          <w:i/>
          <w:color w:val="888888"/>
        </w:rPr>
        <w:t>[Image placeholder]</w:t>
      </w:r>
    </w:p>
    <w:p>
      <w:pPr>
        <w:pStyle w:val="Heading3"/>
      </w:pPr>
      <w:r>
        <w:rPr>
          <w:sz w:val="24"/>
        </w:rPr>
        <w:t>Slide 27/37: (Untitled)</w:t>
      </w:r>
    </w:p>
    <w:p>
      <w:r>
        <w:rPr>
          <w:i/>
          <w:color w:val="888888"/>
        </w:rPr>
        <w:t>[Image placeholder]</w:t>
      </w:r>
    </w:p>
    <w:p>
      <w:pPr>
        <w:pStyle w:val="Heading3"/>
      </w:pPr>
      <w:r>
        <w:rPr>
          <w:sz w:val="24"/>
        </w:rPr>
        <w:t>Slide 28/37: (Untitled)</w:t>
      </w:r>
    </w:p>
    <w:p>
      <w:r>
        <w:rPr>
          <w:i/>
          <w:color w:val="888888"/>
        </w:rPr>
        <w:t>[Image placeholder]</w:t>
      </w:r>
    </w:p>
    <w:p>
      <w:pPr>
        <w:pStyle w:val="Heading3"/>
      </w:pPr>
      <w:r>
        <w:rPr>
          <w:sz w:val="24"/>
        </w:rPr>
        <w:t>Slide 29/37: (Untitled)</w:t>
      </w:r>
    </w:p>
    <w:p>
      <w:r>
        <w:rPr>
          <w:i/>
          <w:color w:val="888888"/>
        </w:rPr>
        <w:t>[Image placeholder]</w:t>
      </w:r>
    </w:p>
    <w:p>
      <w:pPr>
        <w:pStyle w:val="Heading3"/>
      </w:pPr>
      <w:r>
        <w:rPr>
          <w:sz w:val="24"/>
        </w:rPr>
        <w:t>Slide 30/37: (Untitled)</w:t>
      </w:r>
    </w:p>
    <w:p>
      <w:r>
        <w:rPr>
          <w:i/>
          <w:color w:val="888888"/>
        </w:rPr>
        <w:t>[Image placeholder]</w:t>
      </w:r>
    </w:p>
    <w:p>
      <w:pPr>
        <w:pStyle w:val="Heading3"/>
      </w:pPr>
      <w:r>
        <w:rPr>
          <w:sz w:val="24"/>
        </w:rPr>
        <w:t>Slide 31/37: (Untitled)</w:t>
      </w:r>
    </w:p>
    <w:p>
      <w:r>
        <w:rPr>
          <w:i/>
          <w:color w:val="888888"/>
        </w:rPr>
        <w:t>[Image placeholder]</w:t>
      </w:r>
    </w:p>
    <w:p>
      <w:pPr>
        <w:pStyle w:val="Heading3"/>
      </w:pPr>
      <w:r>
        <w:rPr>
          <w:sz w:val="24"/>
        </w:rPr>
        <w:t>Slide 32/37: (Untitled)</w:t>
      </w:r>
    </w:p>
    <w:p>
      <w:r>
        <w:rPr>
          <w:i/>
          <w:color w:val="888888"/>
        </w:rPr>
        <w:t>[Image placeholder]</w:t>
      </w:r>
    </w:p>
    <w:p>
      <w:pPr>
        <w:pStyle w:val="Heading3"/>
      </w:pPr>
      <w:r>
        <w:rPr>
          <w:sz w:val="24"/>
        </w:rPr>
        <w:t>Slide 33/37: (Untitled)</w:t>
      </w:r>
    </w:p>
    <w:p>
      <w:r>
        <w:rPr>
          <w:i/>
          <w:color w:val="888888"/>
        </w:rPr>
        <w:t>[Image placeholder]</w:t>
      </w:r>
    </w:p>
    <w:p>
      <w:pPr>
        <w:pStyle w:val="Heading3"/>
      </w:pPr>
      <w:r>
        <w:rPr>
          <w:sz w:val="24"/>
        </w:rPr>
        <w:t>Slide 34/37: (Untitled)</w:t>
      </w:r>
    </w:p>
    <w:p>
      <w:r>
        <w:rPr>
          <w:i/>
          <w:color w:val="888888"/>
        </w:rPr>
        <w:t>[Image placeholder]</w:t>
      </w:r>
    </w:p>
    <w:p>
      <w:pPr>
        <w:pStyle w:val="Heading3"/>
      </w:pPr>
      <w:r>
        <w:rPr>
          <w:sz w:val="24"/>
        </w:rPr>
        <w:t>Slide 35/37: (Untitled)</w:t>
      </w:r>
    </w:p>
    <w:p>
      <w:r>
        <w:rPr>
          <w:i/>
          <w:color w:val="888888"/>
        </w:rPr>
        <w:t>[Image placeholder]</w:t>
      </w:r>
    </w:p>
    <w:p>
      <w:pPr>
        <w:pStyle w:val="Heading3"/>
      </w:pPr>
      <w:r>
        <w:rPr>
          <w:sz w:val="24"/>
        </w:rPr>
        <w:t>Slide 36/37: (Untitled)</w:t>
      </w:r>
    </w:p>
    <w:p>
      <w:r>
        <w:rPr>
          <w:i/>
          <w:color w:val="888888"/>
        </w:rPr>
        <w:t>[Image placeholder]</w:t>
      </w:r>
    </w:p>
    <w:p>
      <w:pPr>
        <w:pStyle w:val="Heading3"/>
      </w:pPr>
      <w:r>
        <w:rPr>
          <w:sz w:val="24"/>
        </w:rPr>
        <w:t>Slide 37/37: (Untitled)</w:t>
      </w:r>
    </w:p>
    <w:p>
      <w:r>
        <w:rPr>
          <w:i/>
          <w:color w:val="888888"/>
        </w:rPr>
        <w:t>[Image placeholder]</w:t>
      </w:r>
    </w:p>
    <w:p>
      <w:pPr>
        <w:pStyle w:val="Heading2"/>
      </w:pPr>
      <w:r>
        <w:t>Assignment</w:t>
      </w:r>
    </w:p>
    <w:p>
      <w:r>
        <w:rPr>
          <w:b/>
          <w:color w:val="008800"/>
        </w:rPr>
        <w:t>[Assignment 02]: Claim Maintenance</w:t>
      </w:r>
    </w:p>
    <w:p>
      <w:r>
        <w:rPr>
          <w:i/>
          <w:sz w:val="18"/>
        </w:rPr>
        <w:t>File: 02 - Claim Maintenance.pdf</w:t>
      </w:r>
    </w:p>
    <w:p/>
    <w:p>
      <w:pPr>
        <w:spacing w:before="240"/>
        <w:jc w:val="center"/>
      </w:pPr>
      <w:r>
        <w:rPr>
          <w:i/>
          <w:color w:val="999999"/>
          <w:sz w:val="16"/>
        </w:rPr>
        <w:t>--- End of Lesson 2: Introduction to Claim Maintenance | 37 slides | 16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