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1A1A"/>
          <w:sz w:val="36"/>
        </w:rPr>
        <w:t>Chapter 05: Claim Center Introduction</w:t>
      </w:r>
    </w:p>
    <w:p>
      <w:pPr>
        <w:pStyle w:val="Heading2"/>
      </w:pPr>
      <w:r>
        <w:rPr>
          <w:color w:val="333333"/>
          <w:sz w:val="28"/>
        </w:rPr>
        <w:t>Lesson 3: Introduction to Organizational Structure</w:t>
      </w:r>
    </w:p>
    <w:p>
      <w:pPr>
        <w:spacing w:after="40"/>
      </w:pPr>
      <w:r>
        <w:rPr>
          <w:i/>
          <w:color w:val="999999"/>
          <w:sz w:val="16"/>
        </w:rPr>
        <w:t>Source: IS_Claim_03_Introduction to Organizational Structure.pptx</w:t>
      </w:r>
    </w:p>
    <w:p>
      <w:pPr>
        <w:pStyle w:val="Heading3"/>
      </w:pPr>
      <w:r>
        <w:t>Video References</w:t>
      </w:r>
    </w:p>
    <w:p>
      <w:pPr>
        <w:pStyle w:val="ListNumber"/>
      </w:pPr>
      <w:r>
        <w:rPr>
          <w:color w:val="0066CC"/>
          <w:sz w:val="20"/>
        </w:rPr>
        <w:t>[Video 1: IS_Claim_01_03.mp4]</w:t>
      </w:r>
    </w:p>
    <w:p>
      <w:pPr>
        <w:pStyle w:val="ListNumber"/>
      </w:pPr>
      <w:r>
        <w:rPr>
          <w:color w:val="0066CC"/>
          <w:sz w:val="20"/>
        </w:rPr>
        <w:t>[Video 2: IS_Claim_02_03.mp4]</w:t>
      </w:r>
    </w:p>
    <w:p>
      <w:pPr>
        <w:pStyle w:val="ListNumber"/>
      </w:pPr>
      <w:r>
        <w:rPr>
          <w:color w:val="0066CC"/>
          <w:sz w:val="20"/>
        </w:rPr>
        <w:t>[Video 3: IS_Claim_03.mp4]</w:t>
      </w:r>
    </w:p>
    <w:p>
      <w:pPr>
        <w:pStyle w:val="ListNumber"/>
      </w:pPr>
      <w:r>
        <w:rPr>
          <w:color w:val="0066CC"/>
          <w:sz w:val="20"/>
        </w:rPr>
        <w:t>[Video 4: IS_Claim_05_03.mp4]</w:t>
      </w:r>
    </w:p>
    <w:p>
      <w:pPr>
        <w:pStyle w:val="ListNumber"/>
      </w:pPr>
      <w:r>
        <w:rPr>
          <w:color w:val="0066CC"/>
          <w:sz w:val="20"/>
        </w:rPr>
        <w:t>[Video 5: IS_Claim_07_03.mp4]</w:t>
      </w:r>
    </w:p>
    <w:p>
      <w:pPr>
        <w:pStyle w:val="ListNumber"/>
      </w:pPr>
      <w:r>
        <w:rPr>
          <w:color w:val="0066CC"/>
          <w:sz w:val="20"/>
        </w:rPr>
        <w:t>[Video 6: IS_Claim_08_03.mp4]</w:t>
      </w:r>
    </w:p>
    <w:p/>
    <w:p>
      <w:pPr>
        <w:pStyle w:val="Heading2"/>
      </w:pPr>
      <w:r>
        <w:t>Slide Content</w:t>
      </w:r>
    </w:p>
    <w:p>
      <w:pPr>
        <w:pStyle w:val="Heading3"/>
      </w:pPr>
      <w:r>
        <w:rPr>
          <w:sz w:val="24"/>
        </w:rPr>
        <w:t>Slide 1/24: (Untitled)</w:t>
      </w:r>
    </w:p>
    <w:p>
      <w:r>
        <w:rPr>
          <w:i/>
          <w:color w:val="888888"/>
        </w:rPr>
        <w:t>[Image placeholder]</w:t>
      </w:r>
    </w:p>
    <w:p>
      <w:pPr>
        <w:pStyle w:val="Heading3"/>
      </w:pPr>
      <w:r>
        <w:rPr>
          <w:sz w:val="24"/>
        </w:rPr>
        <w:t>Slide 2/24: (Untitled)</w:t>
      </w:r>
    </w:p>
    <w:p>
      <w:r>
        <w:rPr>
          <w:i/>
          <w:color w:val="888888"/>
        </w:rPr>
        <w:t>[Image placeholder]</w:t>
      </w:r>
    </w:p>
    <w:p>
      <w:pPr>
        <w:pStyle w:val="Heading3"/>
      </w:pPr>
      <w:r>
        <w:rPr>
          <w:sz w:val="24"/>
        </w:rPr>
        <w:t>Slide 3/24: (Untitled)</w:t>
      </w:r>
    </w:p>
    <w:p>
      <w:r>
        <w:rPr>
          <w:i/>
          <w:color w:val="888888"/>
        </w:rPr>
        <w:t>[Image placeholder]</w:t>
      </w:r>
    </w:p>
    <w:p>
      <w:pPr>
        <w:pStyle w:val="Heading3"/>
      </w:pPr>
      <w:r>
        <w:rPr>
          <w:sz w:val="24"/>
        </w:rPr>
        <w:t>Slide 4/24: (Untitled)</w:t>
      </w:r>
    </w:p>
    <w:p>
      <w:r>
        <w:rPr>
          <w:i/>
          <w:color w:val="888888"/>
        </w:rPr>
        <w:t>[Image placeholder]</w:t>
      </w:r>
    </w:p>
    <w:p>
      <w:pPr>
        <w:spacing w:before="80" w:after="80"/>
        <w:shd w:fill="E8E8E8" w:val="clear"/>
      </w:pPr>
      <w:r>
        <w:rPr>
          <w:i/>
          <w:color w:val="444444"/>
          <w:sz w:val="18"/>
        </w:rPr>
        <w:t>Speaker Notes: Basic organizational structure</w:t>
        <w:br/>
        <w:t>Users</w:t>
        <w:br/>
        <w:t>Users are people who are permitted to log into ClaimCenter They are involved with the process of settling claims. The goal of assignment is to assign work to users, which makes them owners of that work. After assigning work to the correct group, you or a rule pick a user from that group. Therefore, each user must belong to at least one group.</w:t>
        <w:br/>
        <w:br/>
        <w:t>Groups</w:t>
        <w:br/>
        <w:t>The basic way ClaimCenter organizes a carrier's employees, the people available to handle claims, is through groups. A group's members can either be other groups—teams or subgroups—or users, people who work on claims. Groups are often defined to mirror the carrier’s organizational structure—a main offce has departments that contain divisional offices that control local offices, and so on. But groups can also be defined virtually. A vittual group is a set of people who are not part of the same team or department, but who are related in some other way. For example, a virtual group could contain all adjusters in a large region with expertise in commercial arson. The members do normal work in different local offices and are members of their own office groups as well.</w:t>
      </w:r>
    </w:p>
    <w:p>
      <w:pPr>
        <w:pStyle w:val="Heading3"/>
      </w:pPr>
      <w:r>
        <w:rPr>
          <w:sz w:val="24"/>
        </w:rPr>
        <w:t>Slide 5/24: (Untitled)</w:t>
      </w:r>
    </w:p>
    <w:p>
      <w:r>
        <w:rPr>
          <w:i/>
          <w:color w:val="888888"/>
        </w:rPr>
        <w:t>[Image placeholder]</w:t>
      </w:r>
    </w:p>
    <w:p>
      <w:pPr>
        <w:spacing w:before="80" w:after="80"/>
        <w:shd w:fill="E8E8E8" w:val="clear"/>
      </w:pPr>
      <w:r>
        <w:rPr>
          <w:i/>
          <w:color w:val="444444"/>
          <w:sz w:val="18"/>
        </w:rPr>
        <w:t>Speaker Notes: Users</w:t>
        <w:br/>
        <w:t>Basic User information</w:t>
        <w:br/>
        <w:br/>
        <w:t>Credentials — In the base configuration, consists of a username and password.</w:t>
        <w:br/>
        <w:br/>
        <w:t>Roles - A role is a set of permissions assigned to a user to grant the ability view and edit data in ClaimCenter-</w:t>
        <w:br/>
        <w:br/>
        <w:t>Authority limits — Authority to create and approve reserves and payments.</w:t>
        <w:br/>
        <w:br/>
        <w:t>Location information — Includes name, address,  email, and phone and fax numbers. The address can be used to assign based on proximity.</w:t>
        <w:br/>
        <w:br/>
        <w:t>Group membership - Which group does the user belong to.</w:t>
        <w:br/>
        <w:br/>
        <w:t>Experience Level - Identifies user's level of experience- This can be used by rules to determine the level of detail a claim's workplan should have when assigned to a given user. For example, a 'Verify coverage" activity might be generated for a user with low experience whereas it wouldn't for a user with mid or high experience- It could also be used to determine if a user is experienced enough to handle a given tvoe of claim.</w:t>
        <w:br/>
        <w:br/>
        <w:t>Attributes — Special skills possessed by the individual user that may be relevant to a claim, such as ability to speak additional languages-</w:t>
      </w:r>
    </w:p>
    <w:p>
      <w:pPr>
        <w:pStyle w:val="Heading3"/>
      </w:pPr>
      <w:r>
        <w:rPr>
          <w:sz w:val="24"/>
        </w:rPr>
        <w:t>Slide 6/24: (Untitled)</w:t>
      </w:r>
    </w:p>
    <w:p>
      <w:r>
        <w:rPr>
          <w:i/>
          <w:color w:val="888888"/>
        </w:rPr>
        <w:t>[Image placeholder]</w:t>
      </w:r>
    </w:p>
    <w:p>
      <w:pPr>
        <w:spacing w:before="80" w:after="80"/>
        <w:shd w:fill="E8E8E8" w:val="clear"/>
      </w:pPr>
      <w:r>
        <w:rPr>
          <w:i/>
          <w:color w:val="444444"/>
          <w:sz w:val="18"/>
        </w:rPr>
        <w:t>Speaker Notes: Groups</w:t>
        <w:br/>
        <w:t>Groups generally contain users that perform similar tasks. For example, an Auto group will probably contain users who work on Auto related claims. The groups are also hierarchical, that each group must have only one parent. The exception to that is the top level, or root, organization. Groups are used in various ways within ClaimCenter. They participate in automatic assignment logic. They help in determining access to claim objects as well as giving supervisors an overview of the assignments and task within the group they supervise. Groups are assigned a type and regions that they serve.</w:t>
      </w:r>
    </w:p>
    <w:p>
      <w:pPr>
        <w:pStyle w:val="Heading3"/>
      </w:pPr>
      <w:r>
        <w:rPr>
          <w:sz w:val="24"/>
        </w:rPr>
        <w:t>Slide 7/24: (Untitled)</w:t>
      </w:r>
    </w:p>
    <w:p>
      <w:r>
        <w:rPr>
          <w:i/>
          <w:color w:val="888888"/>
        </w:rPr>
        <w:t>[Image placeholder]</w:t>
      </w:r>
    </w:p>
    <w:p>
      <w:pPr>
        <w:spacing w:before="80" w:after="80"/>
        <w:shd w:fill="E8E8E8" w:val="clear"/>
      </w:pPr>
      <w:r>
        <w:rPr>
          <w:i/>
          <w:color w:val="444444"/>
          <w:sz w:val="18"/>
        </w:rPr>
        <w:t>Speaker Notes: Users In groups</w:t>
        <w:br/>
        <w:t>Unlike group-to-group relationships, in which every child group can belong to only a single parent group, user-to-group relationships are many-to-many- A user can belong to multiple groups. (In the example above, Terry Martel and Jessie Hickman belong to two groups.) When a user belongs to two or more groups, they may get objects assigned them from all of the groups to which they belong.  (In the example above, Terry Martel may get objects assigned to the Phoenix WC</w:t>
        <w:br/>
        <w:t>Adjusters group as well objects assigned to the fraud WC virtual group.)</w:t>
        <w:br/>
        <w:br/>
        <w:t>In a live instance of ClaimCenter, the majority of the groups reflect the reporting structure of the carrier. (In other words, most groups, the individuals of the group are all assigned to the same department and all report to the same supervisor.)</w:t>
        <w:br/>
        <w:br/>
        <w:t>There are a small number of groups which do not reflect reporting structure, but instead reflect a common jobresponsibility shared by two or more individuals  different departments. These groups are sometimes referred to as "virtual" groups because they do not represent any aspect of reporting structure- Virtual groups are created to simplify the assignment of objectsWI Invo ve slml ar ogc u individuals in different parts of the organization’s hierarchy. (In the example above, the "Western Fraud Auto Adjusters" group is a virtual group- It contains two individuals, both of whom belong to other groups. Auto claims which appear to be fraudulent are assigned to this group, regardless of whether they are normal orcomplex.)</w:t>
      </w:r>
    </w:p>
    <w:p>
      <w:pPr>
        <w:pStyle w:val="Heading3"/>
      </w:pPr>
      <w:r>
        <w:rPr>
          <w:sz w:val="24"/>
        </w:rPr>
        <w:t>Slide 8/24: (Untitled)</w:t>
      </w:r>
    </w:p>
    <w:p>
      <w:r>
        <w:rPr>
          <w:i/>
          <w:color w:val="888888"/>
        </w:rPr>
        <w:t>[Image placeholder]</w:t>
      </w:r>
    </w:p>
    <w:p>
      <w:pPr>
        <w:spacing w:before="80" w:after="80"/>
        <w:shd w:fill="E8E8E8" w:val="clear"/>
      </w:pPr>
      <w:r>
        <w:rPr>
          <w:i/>
          <w:color w:val="444444"/>
          <w:sz w:val="18"/>
        </w:rPr>
        <w:t>Speaker Notes: Assignment</w:t>
        <w:br/>
        <w:t xml:space="preserve">Assignment is the act of selecting an owner for an assignable object. When an object is assigned (such as a claim, exposure, activity, and so forth) it is assigned to a group and a user, regardless if it is an automatic assignment or if it is manually assigned. </w:t>
        <w:br/>
        <w:br/>
        <w:t>In the base application there are 6 assignable objects•</w:t>
        <w:br/>
        <w:br/>
        <w:t>Claim</w:t>
        <w:br/>
        <w:t>Exposure</w:t>
        <w:br/>
        <w:t>Activity</w:t>
        <w:br/>
        <w:t>Service request</w:t>
        <w:br/>
        <w:t>Matter</w:t>
        <w:br/>
        <w:t>Subrogation</w:t>
      </w:r>
    </w:p>
    <w:p>
      <w:pPr>
        <w:pStyle w:val="Heading3"/>
      </w:pPr>
      <w:r>
        <w:rPr>
          <w:sz w:val="24"/>
        </w:rPr>
        <w:t>Slide 9/24: (Untitled)</w:t>
      </w:r>
    </w:p>
    <w:p>
      <w:r>
        <w:rPr>
          <w:i/>
          <w:color w:val="888888"/>
        </w:rPr>
        <w:t>[Image placeholder]</w:t>
      </w:r>
    </w:p>
    <w:p>
      <w:pPr>
        <w:spacing w:before="80" w:after="80"/>
        <w:shd w:fill="E8E8E8" w:val="clear"/>
      </w:pPr>
      <w:r>
        <w:rPr>
          <w:i/>
          <w:color w:val="444444"/>
          <w:sz w:val="18"/>
        </w:rPr>
        <w:t>Speaker Notes: The outcome of assignment</w:t>
        <w:br/>
        <w:t>For claims and activities, it is possible to assign the object to a temporary location before the final user and group have been selected. (Claims can temporarily be assigned to a "Pending assignments" list, and activities can be assigned to a group queue.) However, these locations are only intermediate points in the assignment process. Eventually, every assignable object is assigned to a group and a user in that group.</w:t>
      </w:r>
    </w:p>
    <w:p>
      <w:pPr>
        <w:pStyle w:val="Heading3"/>
      </w:pPr>
      <w:r>
        <w:rPr>
          <w:sz w:val="24"/>
        </w:rPr>
        <w:t>Slide 10/24: (Untitled)</w:t>
      </w:r>
    </w:p>
    <w:p>
      <w:r>
        <w:rPr>
          <w:i/>
          <w:color w:val="888888"/>
        </w:rPr>
        <w:t>[Image placeholder]</w:t>
      </w:r>
    </w:p>
    <w:p>
      <w:pPr>
        <w:spacing w:before="80" w:after="80"/>
        <w:shd w:fill="E8E8E8" w:val="clear"/>
      </w:pPr>
      <w:r>
        <w:rPr>
          <w:i/>
          <w:color w:val="444444"/>
          <w:sz w:val="18"/>
        </w:rPr>
        <w:t>Speaker Notes: Regions and Types</w:t>
        <w:br/>
        <w:t>A region is a named geographic area that contains one or more states, postal codes, cities,  provinces, counties, or other defined regions. For example,  Southern U.S. region can be defined that includes Texas, Louisiana, and Oklahoma. You can define as many regions as are needed and they can overlap.  State-level regions can describe the office to which a claim is sent. A postal code or county-level region may govern which person is assigned to inspect a damaged</w:t>
        <w:br/>
        <w:t>vehicle. You can define one region to be Arizona and New Mexico, and another region to be all counties in West Texas and then assign both regions to the Southwest Regional Office.</w:t>
        <w:br/>
        <w:br/>
        <w:t>Both users and groups can be associated with one or more regions. ClaimCenter business rules can be written to perform location-based assignment. If a claim has a loss location of Germany, ClaimCenter can determine that the responsibility falls in Saxony state, and then assign the claim to a group that covers that region.</w:t>
      </w:r>
    </w:p>
    <w:p>
      <w:pPr>
        <w:pStyle w:val="Heading3"/>
      </w:pPr>
      <w:r>
        <w:rPr>
          <w:sz w:val="24"/>
        </w:rPr>
        <w:t>Slide 11/24: (Untitled)</w:t>
      </w:r>
    </w:p>
    <w:p>
      <w:r>
        <w:rPr>
          <w:i/>
          <w:color w:val="888888"/>
        </w:rPr>
        <w:t>[Image placeholder]</w:t>
      </w:r>
    </w:p>
    <w:p>
      <w:pPr>
        <w:spacing w:before="80" w:after="80"/>
        <w:shd w:fill="E8E8E8" w:val="clear"/>
      </w:pPr>
      <w:r>
        <w:rPr>
          <w:i/>
          <w:color w:val="444444"/>
          <w:sz w:val="18"/>
        </w:rPr>
        <w:t>Speaker Notes: Organization structure and assignment</w:t>
        <w:br/>
        <w:t>ClaimCenter includes a rule- based assignment engine. The assignment rules assign the Claim object to a group. The first step in assignment is to consider all groups and make an assignment to the proper group.  The rules in the base applicationuse regions and loss location to narrow down the list of eligible groups. If a claim is in Texas, the rules will try to find a group within that region. Next, the rules further narrow down the list by group type. For example, if the claim is an auto claim, the rules will restrict the list of eligible to those that handle auto claims. The last step is to assign the object to a user within that group.</w:t>
      </w:r>
    </w:p>
    <w:p>
      <w:pPr>
        <w:pStyle w:val="Heading3"/>
      </w:pPr>
      <w:r>
        <w:rPr>
          <w:sz w:val="24"/>
        </w:rPr>
        <w:t>Slide 12/24: (Untitled)</w:t>
      </w:r>
    </w:p>
    <w:p>
      <w:r>
        <w:rPr>
          <w:i/>
          <w:color w:val="888888"/>
        </w:rPr>
        <w:t>[Image placeholder]</w:t>
      </w:r>
    </w:p>
    <w:p>
      <w:pPr>
        <w:spacing w:before="80" w:after="80"/>
        <w:shd w:fill="E8E8E8" w:val="clear"/>
      </w:pPr>
      <w:r>
        <w:rPr>
          <w:i/>
          <w:color w:val="444444"/>
          <w:sz w:val="18"/>
        </w:rPr>
        <w:t>Speaker Notes: Selecting a group by location</w:t>
        <w:br/>
        <w:br/>
        <w:t>Select a group by location example:</w:t>
        <w:br/>
        <w:br/>
        <w:t>Given the example above, ClaimCenter first searches for a group whose postal code matches the claim's location. If a claim's location is postal code 77089, the claim would be assigned to the "Eastern Harris" group.</w:t>
        <w:br/>
        <w:br/>
        <w:t>If there is no group whose region covers the claim’s location's postal code, then ClaimCenter next searches for a group whose county matches the claim's location If the claim's location is in the county of Harris (but not in a postal code covered by the postal-code-based groups), the claim would be assigned to the •Harris County" group.</w:t>
        <w:br/>
        <w:br/>
        <w:t>If there is no group whose region covers the claim’s location's county, then ClaimCenter next searches for a group whose state matches the claim's location.  If the claim's location is in the state of Texas (but not in a county covered by the county- based groups), the claim would be assigned to the u Texas" group.</w:t>
        <w:br/>
        <w:br/>
        <w:t>The geographic hierarchy is configurable.</w:t>
      </w:r>
    </w:p>
    <w:p>
      <w:pPr>
        <w:pStyle w:val="Heading3"/>
      </w:pPr>
      <w:r>
        <w:rPr>
          <w:sz w:val="24"/>
        </w:rPr>
        <w:t>Slide 13/24: (Untitled)</w:t>
      </w:r>
    </w:p>
    <w:p>
      <w:r>
        <w:rPr>
          <w:i/>
          <w:color w:val="888888"/>
        </w:rPr>
        <w:t>[Image placeholder]</w:t>
      </w:r>
    </w:p>
    <w:p>
      <w:pPr>
        <w:spacing w:before="80" w:after="80"/>
        <w:shd w:fill="E8E8E8" w:val="clear"/>
      </w:pPr>
      <w:r>
        <w:rPr>
          <w:i/>
          <w:color w:val="444444"/>
          <w:sz w:val="18"/>
        </w:rPr>
        <w:t>Speaker Notes: Group attributes used in assignment</w:t>
        <w:br/>
        <w:t>Groups have two attributes which are be used in assignment rules: Type and Region.</w:t>
        <w:br/>
        <w:br/>
        <w:t>The group type identifies the kind of work the group covers. The region identifies the location where the group has responsibilities. They are used together when an object needs to be assigned to a certain group type in a specific geographic region. For example, an insurer may handle claims in three regions: North, South, and Central. Each region has several group types, Auto Normal, Auto Complex, Workers' Com Medical, and Workers' Comp Liability. A medical Workers’ Comp claim in Tennessee must be assigned to a Workers' Comp Medical group in the Southeast region. The group type and region are both used in conjunction to determine where the claim will be assigned.</w:t>
        <w:br/>
        <w:br/>
        <w:t>Users assigned to a group are assumed to be capable of handling the kind of work thegroup does. Therefore, if a user is assigned to a Workers' Com  Medical group, that user is assumed to be capable of handling Workers' Comp Medical claims.</w:t>
      </w:r>
    </w:p>
    <w:p>
      <w:pPr>
        <w:pStyle w:val="Heading3"/>
      </w:pPr>
      <w:r>
        <w:rPr>
          <w:sz w:val="24"/>
        </w:rPr>
        <w:t>Slide 14/24: (Untitled)</w:t>
      </w:r>
    </w:p>
    <w:p>
      <w:r>
        <w:rPr>
          <w:i/>
          <w:color w:val="888888"/>
        </w:rPr>
        <w:t>[Image placeholder]</w:t>
      </w:r>
    </w:p>
    <w:p>
      <w:pPr>
        <w:spacing w:before="80" w:after="80"/>
        <w:shd w:fill="E8E8E8" w:val="clear"/>
      </w:pPr>
      <w:r>
        <w:rPr>
          <w:i/>
          <w:color w:val="444444"/>
          <w:sz w:val="18"/>
        </w:rPr>
        <w:t>Speaker Notes: When and how does assignment occur?</w:t>
        <w:br/>
        <w:t>Assignment generally occurs when an object is created. For example, at the end of the New Claim Wizard, the user has the option to let ClaimCenter use the rules to assign the claim, or they can assign the claim manually.</w:t>
        <w:br/>
        <w:br/>
        <w:t>An existing object can be reassigned when the owner, or someone with sufficient permissions, explicitly chooses to reassign the object. Just as at initial creation, the new owner can be specified explicitly or can be chosen automatically through the assignment rules</w:t>
        <w:br/>
        <w:br/>
        <w:t>In the base application, the owner of an object and their supervisor can reassign an object. For example, the owner of the claim can reassign any exposures on the claim. During automated claim setup or claim creation, the claim itself is assigned to a groupand a user. Any activities and exposures that are created during that process are also assigned to a group and user.</w:t>
      </w:r>
    </w:p>
    <w:p>
      <w:pPr>
        <w:pStyle w:val="Heading3"/>
      </w:pPr>
      <w:r>
        <w:rPr>
          <w:sz w:val="24"/>
        </w:rPr>
        <w:t>Slide 15/24: (Untitled)</w:t>
      </w:r>
    </w:p>
    <w:p>
      <w:r>
        <w:rPr>
          <w:i/>
          <w:color w:val="888888"/>
        </w:rPr>
        <w:t>[Image placeholder]</w:t>
      </w:r>
    </w:p>
    <w:p>
      <w:pPr>
        <w:pStyle w:val="Heading3"/>
      </w:pPr>
      <w:r>
        <w:rPr>
          <w:sz w:val="24"/>
        </w:rPr>
        <w:t>Slide 16/24: (Untitled)</w:t>
      </w:r>
    </w:p>
    <w:p>
      <w:pPr>
        <w:pStyle w:val="Heading3"/>
      </w:pPr>
      <w:r>
        <w:rPr>
          <w:sz w:val="24"/>
        </w:rPr>
        <w:t>Slide 17/24: (Untitled)</w:t>
      </w:r>
    </w:p>
    <w:p>
      <w:r>
        <w:rPr>
          <w:i/>
          <w:color w:val="888888"/>
        </w:rPr>
        <w:t>[Image placeholder]</w:t>
      </w:r>
    </w:p>
    <w:p>
      <w:pPr>
        <w:pStyle w:val="Heading3"/>
      </w:pPr>
      <w:r>
        <w:rPr>
          <w:sz w:val="24"/>
        </w:rPr>
        <w:t>Slide 18/24: (Untitled)</w:t>
      </w:r>
    </w:p>
    <w:p>
      <w:r>
        <w:rPr>
          <w:i/>
          <w:color w:val="888888"/>
        </w:rPr>
        <w:t>[Image placeholder]</w:t>
      </w:r>
    </w:p>
    <w:p>
      <w:pPr>
        <w:pStyle w:val="Heading3"/>
      </w:pPr>
      <w:r>
        <w:rPr>
          <w:sz w:val="24"/>
        </w:rPr>
        <w:t>Slide 19/24: (Untitled)</w:t>
      </w:r>
    </w:p>
    <w:p>
      <w:r>
        <w:rPr>
          <w:i/>
          <w:color w:val="888888"/>
        </w:rPr>
        <w:t>[Image placeholder]</w:t>
      </w:r>
    </w:p>
    <w:p>
      <w:pPr>
        <w:pStyle w:val="Heading3"/>
      </w:pPr>
      <w:r>
        <w:rPr>
          <w:sz w:val="24"/>
        </w:rPr>
        <w:t>Slide 20/24: (Untitled)</w:t>
      </w:r>
    </w:p>
    <w:p>
      <w:r>
        <w:rPr>
          <w:i/>
          <w:color w:val="888888"/>
        </w:rPr>
        <w:t>[Image placeholder]</w:t>
      </w:r>
    </w:p>
    <w:p>
      <w:pPr>
        <w:pStyle w:val="Heading3"/>
      </w:pPr>
      <w:r>
        <w:rPr>
          <w:sz w:val="24"/>
        </w:rPr>
        <w:t>Slide 21/24: (Untitled)</w:t>
      </w:r>
    </w:p>
    <w:p>
      <w:r>
        <w:rPr>
          <w:i/>
          <w:color w:val="888888"/>
        </w:rPr>
        <w:t>[Image placeholder]</w:t>
      </w:r>
    </w:p>
    <w:p>
      <w:pPr>
        <w:pStyle w:val="Heading3"/>
      </w:pPr>
      <w:r>
        <w:rPr>
          <w:sz w:val="24"/>
        </w:rPr>
        <w:t>Slide 22/24: (Untitled)</w:t>
      </w:r>
    </w:p>
    <w:p>
      <w:r>
        <w:rPr>
          <w:i/>
          <w:color w:val="888888"/>
        </w:rPr>
        <w:t>[Image placeholder]</w:t>
      </w:r>
    </w:p>
    <w:p>
      <w:pPr>
        <w:pStyle w:val="Heading3"/>
      </w:pPr>
      <w:r>
        <w:rPr>
          <w:sz w:val="24"/>
        </w:rPr>
        <w:t>Slide 23/24: (Untitled)</w:t>
      </w:r>
    </w:p>
    <w:p>
      <w:r>
        <w:rPr>
          <w:i/>
          <w:color w:val="888888"/>
        </w:rPr>
        <w:t>[Image placeholder]</w:t>
      </w:r>
    </w:p>
    <w:p>
      <w:pPr>
        <w:pStyle w:val="Heading3"/>
      </w:pPr>
      <w:r>
        <w:rPr>
          <w:sz w:val="24"/>
        </w:rPr>
        <w:t>Slide 24/24: (Untitled)</w:t>
      </w:r>
    </w:p>
    <w:p>
      <w:r>
        <w:rPr>
          <w:i/>
          <w:color w:val="888888"/>
        </w:rPr>
        <w:t>[Image placeholder]</w:t>
      </w:r>
    </w:p>
    <w:p>
      <w:pPr>
        <w:pStyle w:val="Heading2"/>
      </w:pPr>
      <w:r>
        <w:t>Assignment</w:t>
      </w:r>
    </w:p>
    <w:p>
      <w:r>
        <w:rPr>
          <w:b/>
          <w:color w:val="008800"/>
        </w:rPr>
        <w:t>[Assignment 03]: Organization Structure</w:t>
      </w:r>
    </w:p>
    <w:p>
      <w:r>
        <w:rPr>
          <w:i/>
          <w:sz w:val="18"/>
        </w:rPr>
        <w:t>File: 03 - Organization Structure.pdf</w:t>
      </w:r>
    </w:p>
    <w:p/>
    <w:p>
      <w:pPr>
        <w:spacing w:before="240"/>
        <w:jc w:val="center"/>
      </w:pPr>
      <w:r>
        <w:rPr>
          <w:i/>
          <w:color w:val="999999"/>
          <w:sz w:val="16"/>
        </w:rPr>
        <w:t>--- End of Lesson 3: Introduction to Organizational Structure | 24 slides | 6 videos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