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4: Introduction to Claim Intake</w:t>
      </w:r>
    </w:p>
    <w:p>
      <w:pPr>
        <w:spacing w:after="40"/>
      </w:pPr>
      <w:r>
        <w:rPr>
          <w:i/>
          <w:color w:val="999999"/>
          <w:sz w:val="16"/>
        </w:rPr>
        <w:t>Source: IS_Claim_04_Introduction to Claim Intake.pptx</w:t>
      </w:r>
    </w:p>
    <w:p>
      <w:pPr>
        <w:pStyle w:val="Heading3"/>
      </w:pPr>
      <w:r>
        <w:t>Video References</w:t>
      </w:r>
    </w:p>
    <w:p>
      <w:pPr>
        <w:pStyle w:val="ListNumber"/>
      </w:pPr>
      <w:r>
        <w:rPr>
          <w:color w:val="0066CC"/>
          <w:sz w:val="20"/>
        </w:rPr>
        <w:t>[Video 1: IS_Claim_01_04.mp4]</w:t>
      </w:r>
    </w:p>
    <w:p>
      <w:pPr>
        <w:pStyle w:val="ListNumber"/>
      </w:pPr>
      <w:r>
        <w:rPr>
          <w:color w:val="0066CC"/>
          <w:sz w:val="20"/>
        </w:rPr>
        <w:t>[Video 2: IS_Claim_04.mp4]</w:t>
      </w:r>
    </w:p>
    <w:p>
      <w:pPr>
        <w:pStyle w:val="ListNumber"/>
      </w:pPr>
      <w:r>
        <w:rPr>
          <w:color w:val="0066CC"/>
          <w:sz w:val="20"/>
        </w:rPr>
        <w:t>[Video 3: IS_Claim_05_04.mp4]</w:t>
      </w:r>
    </w:p>
    <w:p>
      <w:pPr>
        <w:pStyle w:val="ListNumber"/>
      </w:pPr>
      <w:r>
        <w:rPr>
          <w:color w:val="0066CC"/>
          <w:sz w:val="20"/>
        </w:rPr>
        <w:t>[Video 4: IS_Claim_07_04.mp4]</w:t>
      </w:r>
    </w:p>
    <w:p>
      <w:pPr>
        <w:pStyle w:val="ListNumber"/>
      </w:pPr>
      <w:r>
        <w:rPr>
          <w:color w:val="0066CC"/>
          <w:sz w:val="20"/>
        </w:rPr>
        <w:t>[Video 5: IS_Claim_08_04.mp4]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The claim intake process (I of 7)</w:t>
        <w:br/>
        <w:t>The claim intake process is represented above with seven broad steps. Keep in mind that this is a high-level summary and the diagram does not represent every case. There are three ways that a claim can come into existence in ClaimCenter:</w:t>
        <w:br/>
        <w:br/>
        <w:t>1. A claim can be created using a customer portal such as Guidewire Claim Portal for Policyholders.</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The claim intake process (2 of 7)</w:t>
        <w:br/>
        <w:t>2. A claim could be created in an external FROI application and then imported into ClaimCenter. This is a "two step" process — first the claim is saved in a FROI application, then the claim is imported in to ClaimCenter.</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The claim intake process (3 of 7)</w:t>
        <w:br/>
        <w:t>3. When a "reporter" contacts the carrier (usually by phone) and reports the loss, a CSR or other employee of the insurer can enter the claim using the New Claim Wizard.</w:t>
      </w:r>
    </w:p>
    <w:p>
      <w:pPr>
        <w:pStyle w:val="Heading3"/>
      </w:pPr>
      <w:r>
        <w:rPr>
          <w:sz w:val="24"/>
        </w:rPr>
        <w:t>Slide 8/27: (Untitled)</w:t>
      </w:r>
    </w:p>
    <w:p>
      <w:r>
        <w:rPr>
          <w:i/>
          <w:color w:val="888888"/>
        </w:rPr>
        <w:t>[Image placeholder]</w:t>
      </w:r>
    </w:p>
    <w:p>
      <w:pPr>
        <w:spacing w:before="80" w:after="80"/>
        <w:shd w:fill="E8E8E8" w:val="clear"/>
      </w:pPr>
      <w:r>
        <w:rPr>
          <w:i/>
          <w:color w:val="444444"/>
          <w:sz w:val="18"/>
        </w:rPr>
        <w:t>Speaker Notes: The claim intake process (4 of 7)</w:t>
        <w:br/>
        <w:t>Once the claim has been created or imported, it enters the automated claim setup process. There are three primary things that occur during claim setup. First, the claim is segmented.  Segmentation is the process of determining the strategy for how the claim should be processed.  (For example, is the claim straight-forward or is it complex and will it require adjusters with special expertise.)</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The claim intake process (5 of 7)</w:t>
        <w:br/>
        <w:t>Next, the claim is assigned. Assignment is the act if determining who is responsible for the claim. The user creating the claim can specify who it should be assigned to, or the assignment could be determined using automated rules</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The claim intake process (6 of 7)</w:t>
        <w:br/>
        <w:t>Finally, a series of activities known as the "workplan" are created and assigned. These activities identify the work that must be done to process the claim and who must do it.</w:t>
      </w:r>
    </w:p>
    <w:p>
      <w:pPr>
        <w:pStyle w:val="Heading3"/>
      </w:pPr>
      <w:r>
        <w:rPr>
          <w:sz w:val="24"/>
        </w:rPr>
        <w:t>Slide 11/27: (Untitled)</w:t>
      </w:r>
    </w:p>
    <w:p>
      <w:r>
        <w:rPr>
          <w:i/>
          <w:color w:val="888888"/>
        </w:rPr>
        <w:t>[Image placeholder]</w:t>
      </w:r>
    </w:p>
    <w:p>
      <w:pPr>
        <w:spacing w:before="80" w:after="80"/>
        <w:shd w:fill="E8E8E8" w:val="clear"/>
      </w:pPr>
      <w:r>
        <w:rPr>
          <w:i/>
          <w:color w:val="444444"/>
          <w:sz w:val="18"/>
        </w:rPr>
        <w:t>Speaker Notes: The claim intake process (7 of 7)</w:t>
        <w:br/>
        <w:t>After claim setup has been completed, validation rules are executed to verify that the claim meets the minimum set of requirements to exist in the system as a claim.</w:t>
        <w:br/>
        <w:br/>
        <w:t>When validation occurs successfully, the claim intake process is done.</w:t>
      </w:r>
    </w:p>
    <w:p>
      <w:pPr>
        <w:pStyle w:val="Heading3"/>
      </w:pPr>
      <w:r>
        <w:rPr>
          <w:sz w:val="24"/>
        </w:rPr>
        <w:t>Slide 12/27: (Untitled)</w:t>
      </w:r>
    </w:p>
    <w:p>
      <w:r>
        <w:rPr>
          <w:i/>
          <w:color w:val="888888"/>
        </w:rPr>
        <w:t>[Image placeholder]</w:t>
      </w:r>
    </w:p>
    <w:p>
      <w:pPr>
        <w:spacing w:before="80" w:after="80"/>
        <w:shd w:fill="E8E8E8" w:val="clear"/>
      </w:pPr>
      <w:r>
        <w:rPr>
          <w:i/>
          <w:color w:val="444444"/>
          <w:sz w:val="18"/>
        </w:rPr>
        <w:t>Speaker Notes: The intake process: imported claims</w:t>
        <w:br/>
        <w:t>A claim can be created in an external FROI application and then imported into ClaimCenter.</w:t>
      </w:r>
    </w:p>
    <w:p>
      <w:pPr>
        <w:pStyle w:val="Heading3"/>
      </w:pPr>
      <w:r>
        <w:rPr>
          <w:sz w:val="24"/>
        </w:rPr>
        <w:t>Slide 13/27: (Untitled)</w:t>
      </w:r>
    </w:p>
    <w:p>
      <w:r>
        <w:rPr>
          <w:i/>
          <w:color w:val="888888"/>
        </w:rPr>
        <w:t>[Image placeholder]</w:t>
      </w:r>
    </w:p>
    <w:p>
      <w:pPr>
        <w:spacing w:before="80" w:after="80"/>
        <w:shd w:fill="E8E8E8" w:val="clear"/>
      </w:pPr>
      <w:r>
        <w:rPr>
          <w:i/>
          <w:color w:val="444444"/>
          <w:sz w:val="18"/>
        </w:rPr>
        <w:t>Speaker Notes: Imported FROI Claims</w:t>
        <w:br/>
        <w:t>A claim can be created in an external system and imported. The claim must meet the same minimum requirements as claims coming from the New Claim</w:t>
        <w:br/>
        <w:t xml:space="preserve">Wizard or a portal </w:t>
        <w:br/>
        <w:br/>
        <w:t>An imported claim fails validation if it does not meet all conditions at the "load save" level. If it fails validation at the Cload save" level, it will not be saved.</w:t>
      </w:r>
    </w:p>
    <w:p>
      <w:pPr>
        <w:pStyle w:val="Heading3"/>
      </w:pPr>
      <w:r>
        <w:rPr>
          <w:sz w:val="24"/>
        </w:rPr>
        <w:t>Slide 14/27: (Untitled)</w:t>
      </w:r>
    </w:p>
    <w:p>
      <w:r>
        <w:rPr>
          <w:i/>
          <w:color w:val="888888"/>
        </w:rPr>
        <w:t>[Image placeholder]</w:t>
      </w:r>
    </w:p>
    <w:p>
      <w:pPr>
        <w:spacing w:before="80" w:after="80"/>
        <w:shd w:fill="E8E8E8" w:val="clear"/>
      </w:pPr>
      <w:r>
        <w:rPr>
          <w:i/>
          <w:color w:val="444444"/>
          <w:sz w:val="18"/>
        </w:rPr>
        <w:t>Speaker Notes: The intake process: portal claims</w:t>
        <w:br/>
        <w:t>A claim could be created and submitted directly in ClaimCenter by a policyholder (the consumer) in a portal such as Guidewire Claim Portal for Policyholders.</w:t>
      </w:r>
    </w:p>
    <w:p>
      <w:pPr>
        <w:pStyle w:val="Heading3"/>
      </w:pPr>
      <w:r>
        <w:rPr>
          <w:sz w:val="24"/>
        </w:rPr>
        <w:t>Slide 15/27: (Untitled)</w:t>
      </w:r>
    </w:p>
    <w:p>
      <w:r>
        <w:rPr>
          <w:i/>
          <w:color w:val="888888"/>
        </w:rPr>
        <w:t>[Image placeholder]</w:t>
      </w:r>
    </w:p>
    <w:p>
      <w:pPr>
        <w:spacing w:before="80" w:after="80"/>
        <w:shd w:fill="E8E8E8" w:val="clear"/>
      </w:pPr>
      <w:r>
        <w:rPr>
          <w:i/>
          <w:color w:val="444444"/>
          <w:sz w:val="18"/>
        </w:rPr>
        <w:t>Speaker Notes: Portal Intake Process</w:t>
        <w:br/>
        <w:t>In addition to the traditional method of a CSR or adjuster handling the claim submission process from a phone conversation with the policyholder, a carrier may deploy a portal application to allow policyholders to submit claims on their own from their mobile devices, phones or personal computers.</w:t>
        <w:br/>
        <w:br/>
        <w:t>When the intake process is via a policyholder submitting a claim on a portal application:</w:t>
        <w:br/>
        <w:br/>
        <w:t>Exposures are either created automatically during the claim setup process, or manually by adjusters after the intake process. They are not created by the policyholder in the portal application while the claim is initially being created. In fact, many integrations with portal systems do not save any data in the portal app but  in the claim system itself.</w:t>
        <w:br/>
        <w:br/>
        <w:t>The process around handling of an incomplete "draft" claim that a policyholder starts on the portal, but abandons ensures that if the policyholder calls in or the carrier wishes to retrieve this Zdraft" claim, the information can be retrieved. More on this is described later in this lesson.</w:t>
      </w:r>
    </w:p>
    <w:p>
      <w:pPr>
        <w:pStyle w:val="Heading3"/>
      </w:pPr>
      <w:r>
        <w:rPr>
          <w:sz w:val="24"/>
        </w:rPr>
        <w:t>Slide 16/27: (Untitled)</w:t>
      </w:r>
    </w:p>
    <w:p>
      <w:r>
        <w:rPr>
          <w:i/>
          <w:color w:val="888888"/>
        </w:rPr>
        <w:t>[Image placeholder]</w:t>
      </w:r>
    </w:p>
    <w:p>
      <w:pPr>
        <w:spacing w:before="80" w:after="80"/>
        <w:shd w:fill="E8E8E8" w:val="clear"/>
      </w:pPr>
      <w:r>
        <w:rPr>
          <w:i/>
          <w:color w:val="444444"/>
          <w:sz w:val="18"/>
        </w:rPr>
        <w:t>Speaker Notes: The intake process: New Claim Wizard</w:t>
        <w:br/>
        <w:t>A claim can be created and submitted by a Customer Service Representative (CSR) or Adjuster in ClaimCenter. In this case, the CSR or Adjuster will enter the claim using the New Claim Wizard.</w:t>
      </w:r>
    </w:p>
    <w:p>
      <w:pPr>
        <w:pStyle w:val="Heading3"/>
      </w:pPr>
      <w:r>
        <w:rPr>
          <w:sz w:val="24"/>
        </w:rPr>
        <w:t>Slide 17/27: (Untitled)</w:t>
      </w:r>
    </w:p>
    <w:p>
      <w:r>
        <w:rPr>
          <w:i/>
          <w:color w:val="888888"/>
        </w:rPr>
        <w:t>[Image placeholder]</w:t>
      </w:r>
    </w:p>
    <w:p>
      <w:pPr>
        <w:pStyle w:val="Heading3"/>
      </w:pPr>
      <w:r>
        <w:rPr>
          <w:sz w:val="24"/>
        </w:rPr>
        <w:t>Slide 18/27: (Untitled)</w:t>
      </w:r>
    </w:p>
    <w:p>
      <w:r>
        <w:rPr>
          <w:i/>
          <w:color w:val="888888"/>
        </w:rPr>
        <w:t>[Image placeholder]</w:t>
      </w:r>
    </w:p>
    <w:p>
      <w:pPr>
        <w:spacing w:before="80" w:after="80"/>
        <w:shd w:fill="E8E8E8" w:val="clear"/>
      </w:pPr>
      <w:r>
        <w:rPr>
          <w:i/>
          <w:color w:val="444444"/>
          <w:sz w:val="18"/>
        </w:rPr>
        <w:t>Speaker Notes: Demonstration</w:t>
        <w:br/>
        <w:t>Demo creating a full claim:</w:t>
        <w:br/>
        <w:br/>
        <w:t>1. Policy search</w:t>
        <w:br/>
        <w:t>2. Loss date</w:t>
        <w:br/>
        <w:t>3. Reported by</w:t>
        <w:br/>
        <w:t>4. Involved vehicle(s)</w:t>
        <w:br/>
        <w:t>5. Witnesses or other parties</w:t>
        <w:br/>
        <w:t>6. Loss cause</w:t>
        <w:br/>
        <w:t>7. Loss location</w:t>
        <w:br/>
        <w:t>8. Services needed</w:t>
        <w:br/>
        <w:t>9. Group and user assignment</w:t>
        <w:br/>
        <w:t>and completion page</w:t>
      </w:r>
    </w:p>
    <w:p>
      <w:pPr>
        <w:pStyle w:val="Heading3"/>
      </w:pPr>
      <w:r>
        <w:rPr>
          <w:sz w:val="24"/>
        </w:rPr>
        <w:t>Slide 19/27: (Untitled)</w:t>
      </w:r>
    </w:p>
    <w:p>
      <w:pPr>
        <w:pStyle w:val="Heading3"/>
      </w:pPr>
      <w:r>
        <w:rPr>
          <w:sz w:val="24"/>
        </w:rPr>
        <w:t>Slide 20/27: (Untitled)</w:t>
      </w:r>
    </w:p>
    <w:p>
      <w:r>
        <w:rPr>
          <w:i/>
          <w:color w:val="888888"/>
        </w:rPr>
        <w:t>[Image placeholder]</w:t>
      </w:r>
    </w:p>
    <w:p>
      <w:pPr>
        <w:pStyle w:val="Heading3"/>
      </w:pPr>
      <w:r>
        <w:rPr>
          <w:sz w:val="24"/>
        </w:rPr>
        <w:t>Slide 21/27: (Untitled)</w:t>
      </w:r>
    </w:p>
    <w:p>
      <w:r>
        <w:rPr>
          <w:i/>
          <w:color w:val="888888"/>
        </w:rPr>
        <w:t>[Image placeholder]</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04]: Line of Business Coverage</w:t>
      </w:r>
    </w:p>
    <w:p>
      <w:r>
        <w:rPr>
          <w:i/>
          <w:sz w:val="18"/>
        </w:rPr>
        <w:t>File: 04 - Line of Business Coverage.pdf</w:t>
      </w:r>
    </w:p>
    <w:p/>
    <w:p>
      <w:pPr>
        <w:spacing w:before="240"/>
        <w:jc w:val="center"/>
      </w:pPr>
      <w:r>
        <w:rPr>
          <w:i/>
          <w:color w:val="999999"/>
          <w:sz w:val="16"/>
        </w:rPr>
        <w:t>--- End of Lesson 4: Introduction to Claim Intake | 27 slides | 5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