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A1A1A"/>
          <w:sz w:val="36"/>
        </w:rPr>
        <w:t>Chapter 05: Claim Center Introduction</w:t>
      </w:r>
    </w:p>
    <w:p>
      <w:pPr>
        <w:pStyle w:val="Heading2"/>
      </w:pPr>
      <w:r>
        <w:rPr>
          <w:color w:val="333333"/>
          <w:sz w:val="28"/>
        </w:rPr>
        <w:t>Lesson 6: Introduction to Data Model</w:t>
      </w:r>
    </w:p>
    <w:p>
      <w:pPr>
        <w:spacing w:after="40"/>
      </w:pPr>
      <w:r>
        <w:rPr>
          <w:i/>
          <w:color w:val="999999"/>
          <w:sz w:val="16"/>
        </w:rPr>
        <w:t>Source: IS_Claim_06_Introduction to Data Model.pptx</w:t>
      </w:r>
    </w:p>
    <w:p>
      <w:pPr>
        <w:pStyle w:val="Heading3"/>
      </w:pPr>
      <w:r>
        <w:t>Video References</w:t>
      </w:r>
    </w:p>
    <w:p>
      <w:pPr>
        <w:pStyle w:val="ListNumber"/>
      </w:pPr>
      <w:r>
        <w:rPr>
          <w:color w:val="0066CC"/>
          <w:sz w:val="20"/>
        </w:rPr>
        <w:t>[Video 1: IS_Claim_01_06.mp4]</w:t>
      </w:r>
    </w:p>
    <w:p>
      <w:pPr>
        <w:pStyle w:val="ListNumber"/>
      </w:pPr>
      <w:r>
        <w:rPr>
          <w:color w:val="0066CC"/>
          <w:sz w:val="20"/>
        </w:rPr>
        <w:t>[Video 2: IS_Claim_06_01.mp4]</w:t>
      </w:r>
    </w:p>
    <w:p>
      <w:pPr>
        <w:pStyle w:val="ListNumber"/>
      </w:pPr>
      <w:r>
        <w:rPr>
          <w:color w:val="0066CC"/>
          <w:sz w:val="20"/>
        </w:rPr>
        <w:t>[Video 3: IS_Claim_06_02.mp4]</w:t>
      </w:r>
    </w:p>
    <w:p/>
    <w:p>
      <w:pPr>
        <w:pStyle w:val="Heading2"/>
      </w:pPr>
      <w:r>
        <w:t>Slide Content</w:t>
      </w:r>
    </w:p>
    <w:p>
      <w:pPr>
        <w:pStyle w:val="Heading3"/>
      </w:pPr>
      <w:r>
        <w:rPr>
          <w:sz w:val="24"/>
        </w:rPr>
        <w:t>Slide 1/31: (Untitled)</w:t>
      </w:r>
    </w:p>
    <w:p>
      <w:r>
        <w:rPr>
          <w:i/>
          <w:color w:val="888888"/>
        </w:rPr>
        <w:t>[Image placeholder]</w:t>
      </w:r>
    </w:p>
    <w:p>
      <w:pPr>
        <w:pStyle w:val="Heading3"/>
      </w:pPr>
      <w:r>
        <w:rPr>
          <w:sz w:val="24"/>
        </w:rPr>
        <w:t>Slide 2/31: (Untitled)</w:t>
      </w:r>
    </w:p>
    <w:p>
      <w:r>
        <w:rPr>
          <w:i/>
          <w:color w:val="888888"/>
        </w:rPr>
        <w:t>[Image placeholder]</w:t>
      </w:r>
    </w:p>
    <w:p>
      <w:pPr>
        <w:pStyle w:val="Heading3"/>
      </w:pPr>
      <w:r>
        <w:rPr>
          <w:sz w:val="24"/>
        </w:rPr>
        <w:t>Slide 3/31: (Untitled)</w:t>
      </w:r>
    </w:p>
    <w:p>
      <w:r>
        <w:rPr>
          <w:i/>
          <w:color w:val="888888"/>
        </w:rPr>
        <w:t>[Image placeholder]</w:t>
      </w:r>
    </w:p>
    <w:p>
      <w:pPr>
        <w:pStyle w:val="Heading3"/>
      </w:pPr>
      <w:r>
        <w:rPr>
          <w:sz w:val="24"/>
        </w:rPr>
        <w:t>Slide 4/31: (Untitled)</w:t>
      </w:r>
    </w:p>
    <w:p>
      <w:r>
        <w:rPr>
          <w:i/>
          <w:color w:val="888888"/>
        </w:rPr>
        <w:t>[Image placeholder]</w:t>
      </w:r>
    </w:p>
    <w:p>
      <w:pPr>
        <w:spacing w:before="80" w:after="80"/>
        <w:shd w:fill="E8E8E8" w:val="clear"/>
      </w:pPr>
      <w:r>
        <w:rPr>
          <w:i/>
          <w:color w:val="444444"/>
          <w:sz w:val="18"/>
        </w:rPr>
        <w:t>Speaker Notes: What is a data model</w:t>
        <w:br/>
        <w:t>The data model in ClaimCenter is a data structure that ClaimCenter uses to store, retrieve and use data. The data is logically grouped into objects called entities. Each entity maintains fields or properties specific to group of data it represents. For example, the activity entity maintains data pertaining to activities. It also maintains relationships to other entities, as needed. An activity may be related to a claim, exposure or a matter. These relationships provide ClaimCenter the ability to use data from multiple entities in a meaningful way.</w:t>
        <w:br/>
        <w:br/>
        <w:t>A typelist is similar to a reference or lookup table in other applications. For example, every claim has a status, which is stored as a reference to a typelist, whose values include draft, open, and closed.</w:t>
      </w:r>
    </w:p>
    <w:p>
      <w:pPr>
        <w:pStyle w:val="Heading3"/>
      </w:pPr>
      <w:r>
        <w:rPr>
          <w:sz w:val="24"/>
        </w:rPr>
        <w:t>Slide 5/31: (Untitled)</w:t>
      </w:r>
    </w:p>
    <w:p>
      <w:r>
        <w:rPr>
          <w:i/>
          <w:color w:val="888888"/>
        </w:rPr>
        <w:t>[Image placeholder]</w:t>
      </w:r>
    </w:p>
    <w:p>
      <w:pPr>
        <w:spacing w:before="80" w:after="80"/>
        <w:shd w:fill="E8E8E8" w:val="clear"/>
      </w:pPr>
      <w:r>
        <w:rPr>
          <w:i/>
          <w:color w:val="444444"/>
          <w:sz w:val="18"/>
        </w:rPr>
        <w:t>Speaker Notes: Data model in ClaimCenter (I of 9)</w:t>
        <w:br/>
        <w:t>The main entity in ClaimCenter is the Claim. Anything of significance that happens in ClaimCenter will somehow relate to the claim entity. Although the claim is a major entity, most of the information on a claim is derived from relationships to other entities. Some basic data that relates directly to the claim is the Loss Date, Reported Date, Loss Cause, Description.</w:t>
      </w:r>
    </w:p>
    <w:p>
      <w:pPr>
        <w:pStyle w:val="Heading3"/>
      </w:pPr>
      <w:r>
        <w:rPr>
          <w:sz w:val="24"/>
        </w:rPr>
        <w:t>Slide 6/31: (Untitled)</w:t>
      </w:r>
    </w:p>
    <w:p>
      <w:r>
        <w:rPr>
          <w:i/>
          <w:color w:val="888888"/>
        </w:rPr>
        <w:t>[Image placeholder]</w:t>
      </w:r>
    </w:p>
    <w:p>
      <w:pPr>
        <w:spacing w:before="80" w:after="80"/>
        <w:shd w:fill="E8E8E8" w:val="clear"/>
      </w:pPr>
      <w:r>
        <w:rPr>
          <w:i/>
          <w:color w:val="444444"/>
          <w:sz w:val="18"/>
        </w:rPr>
        <w:t>Speaker Notes: Data model in ClaimCenter (2 of 9)</w:t>
        <w:br/>
        <w:t>The Contact entity stores information about contacts of interest to the business. Contacts are usually a person,  organization or vendor who has a relationship to a claim. Commonly used types of contacts are Person, Company and Place-</w:t>
      </w:r>
    </w:p>
    <w:p>
      <w:pPr>
        <w:pStyle w:val="Heading3"/>
      </w:pPr>
      <w:r>
        <w:rPr>
          <w:sz w:val="24"/>
        </w:rPr>
        <w:t>Slide 7/31: (Untitled)</w:t>
      </w:r>
    </w:p>
    <w:p>
      <w:r>
        <w:rPr>
          <w:i/>
          <w:color w:val="888888"/>
        </w:rPr>
        <w:t>[Image placeholder]</w:t>
      </w:r>
    </w:p>
    <w:p>
      <w:pPr>
        <w:spacing w:before="80" w:after="80"/>
        <w:shd w:fill="E8E8E8" w:val="clear"/>
      </w:pPr>
      <w:r>
        <w:rPr>
          <w:i/>
          <w:color w:val="444444"/>
          <w:sz w:val="18"/>
        </w:rPr>
        <w:t>Speaker Notes: Data model in Claim Center (3 of 9)</w:t>
        <w:br/>
        <w:t>Claim Contact exists to manage the multiple relationships a Contact may have with a claim. For example, a contact on an workers' comp accident may be an injured party, a witness, or a reporter. The relationship of Contact to Claim Contact is one to one, which means that a single Contact may be related to only one Claim Contact. If a contact has multiple relationships to a claim, there will be multiple Claim Contact rows to reflect those relationships.</w:t>
      </w:r>
    </w:p>
    <w:p>
      <w:pPr>
        <w:pStyle w:val="Heading3"/>
      </w:pPr>
      <w:r>
        <w:rPr>
          <w:sz w:val="24"/>
        </w:rPr>
        <w:t>Slide 8/31: (Untitled)</w:t>
      </w:r>
    </w:p>
    <w:p>
      <w:r>
        <w:rPr>
          <w:i/>
          <w:color w:val="888888"/>
        </w:rPr>
        <w:t>[Image placeholder]</w:t>
      </w:r>
    </w:p>
    <w:p>
      <w:pPr>
        <w:spacing w:before="80" w:after="80"/>
        <w:shd w:fill="E8E8E8" w:val="clear"/>
      </w:pPr>
      <w:r>
        <w:rPr>
          <w:i/>
          <w:color w:val="444444"/>
          <w:sz w:val="18"/>
        </w:rPr>
        <w:t>Speaker Notes: Data model in ClaimCenter (4 of 9)</w:t>
        <w:br/>
        <w:t>An incident is an item that was lost or damaged, such as a vehicle, property, or person suffering one or more injuries. An incident may belong to the insured or to a third party, which would involve liability coverage.  Incidents are typically captured when the claim is first created.  Some information about incidents may need to be gathered later, but the most ideal circumstance involves an intake process where all the information about the "whate or incident is captured. A claim may have multiple incidents. For example, while a workers' compensation claim generally includes an injury incident, it may also involve incidents for lost wages and other possible liabilities.</w:t>
      </w:r>
    </w:p>
    <w:p>
      <w:pPr>
        <w:pStyle w:val="Heading3"/>
      </w:pPr>
      <w:r>
        <w:rPr>
          <w:sz w:val="24"/>
        </w:rPr>
        <w:t>Slide 9/31: (Untitled)</w:t>
      </w:r>
    </w:p>
    <w:p>
      <w:r>
        <w:rPr>
          <w:i/>
          <w:color w:val="888888"/>
        </w:rPr>
        <w:t>[Image placeholder]</w:t>
      </w:r>
    </w:p>
    <w:p>
      <w:pPr>
        <w:spacing w:before="80" w:after="80"/>
        <w:shd w:fill="E8E8E8" w:val="clear"/>
      </w:pPr>
      <w:r>
        <w:rPr>
          <w:i/>
          <w:color w:val="444444"/>
          <w:sz w:val="18"/>
        </w:rPr>
        <w:t>Speaker Notes: Data model in ClaimCenter (5 of 9)</w:t>
        <w:br/>
        <w:t>Exposures are the mechanism used by ClaimCenter to track the progress of each possible compensation payment for a loss</w:t>
        <w:br/>
        <w:br/>
        <w:t>In Policy Administration System, an undemriter looks at possible coverages as exposures. In ClaimCenter, an exposure is used to track possible payments. Exposures associate a claimant with a particular policy coverage and coverage subtype.</w:t>
      </w:r>
    </w:p>
    <w:p>
      <w:pPr>
        <w:pStyle w:val="Heading3"/>
      </w:pPr>
      <w:r>
        <w:rPr>
          <w:sz w:val="24"/>
        </w:rPr>
        <w:t>Slide 10/31: (Untitled)</w:t>
      </w:r>
    </w:p>
    <w:p>
      <w:r>
        <w:rPr>
          <w:i/>
          <w:color w:val="888888"/>
        </w:rPr>
        <w:t>[Image placeholder]</w:t>
      </w:r>
    </w:p>
    <w:p>
      <w:pPr>
        <w:spacing w:before="80" w:after="80"/>
        <w:shd w:fill="E8E8E8" w:val="clear"/>
      </w:pPr>
      <w:r>
        <w:rPr>
          <w:i/>
          <w:color w:val="444444"/>
          <w:sz w:val="18"/>
        </w:rPr>
        <w:t>Speaker Notes: Data model in ClaimCenter (6 of 9)</w:t>
        <w:br/>
        <w:t>Activities are tasks required to process a claim. Each activity is a single task that can be assigned to a person and completed, including work that cannot be completed directly in ClaimCenter- ClaimCenter tracks the assignment and completion of all activities to ensure that the claim is handled correctly.Activities store information about what needs to be done, who does it, and a history of the activity after it is completed. Activities themselves do not store the results of the work. Completing an externally stored, signed agreement document, adding a note to summarize investigation results, and contacting the insured are some common activity examples.</w:t>
      </w:r>
    </w:p>
    <w:p>
      <w:pPr>
        <w:pStyle w:val="Heading3"/>
      </w:pPr>
      <w:r>
        <w:rPr>
          <w:sz w:val="24"/>
        </w:rPr>
        <w:t>Slide 11/31: (Untitled)</w:t>
      </w:r>
    </w:p>
    <w:p>
      <w:r>
        <w:rPr>
          <w:i/>
          <w:color w:val="888888"/>
        </w:rPr>
        <w:t>[Image placeholder]</w:t>
      </w:r>
    </w:p>
    <w:p>
      <w:pPr>
        <w:spacing w:before="80" w:after="80"/>
        <w:shd w:fill="E8E8E8" w:val="clear"/>
      </w:pPr>
      <w:r>
        <w:rPr>
          <w:i/>
          <w:color w:val="444444"/>
          <w:sz w:val="18"/>
        </w:rPr>
        <w:t>Speaker Notes: Data model in ClaimCenter (7 of 9)</w:t>
        <w:br/>
        <w:t>A reserve line is an amount of money set aside for expected payments related to a given exposure. A reserve line can be thought of as an account set aside for one specific aspect of exposure processing containingboth credits and debits. Every exposure ultimately has one or more reserve lines. An exposure may have a single reserve line,  however, it could also have several reserve lines if there are multiple sets of money for different purposes that must be tracked. For example, an exposure for a workers'compensation coverage could have a separate reserve lines for medical payments to make the claimant whole, and an reserve line for a medical case manager.</w:t>
      </w:r>
    </w:p>
    <w:p>
      <w:pPr>
        <w:pStyle w:val="Heading3"/>
      </w:pPr>
      <w:r>
        <w:rPr>
          <w:sz w:val="24"/>
        </w:rPr>
        <w:t>Slide 12/31: (Untitled)</w:t>
      </w:r>
    </w:p>
    <w:p>
      <w:r>
        <w:rPr>
          <w:i/>
          <w:color w:val="888888"/>
        </w:rPr>
        <w:t>[Image placeholder]</w:t>
      </w:r>
    </w:p>
    <w:p>
      <w:pPr>
        <w:spacing w:before="80" w:after="80"/>
        <w:shd w:fill="E8E8E8" w:val="clear"/>
      </w:pPr>
      <w:r>
        <w:rPr>
          <w:i/>
          <w:color w:val="444444"/>
          <w:sz w:val="18"/>
        </w:rPr>
        <w:t>Speaker Notes: Data model in ClaimCenter (8 of 9)</w:t>
        <w:br/>
        <w:t>A transaction tracks a single financial event, including credits and debits to the reserve line. A credit to a reserve line occurs when an adjuster increases the available reserves. A reserve increase would occur if the original reserve amount is high enough to cover the loss. One example of a debit to the reserve line is a payment is made against that reserve line. The credits minus the debits results in the total remaining reserve line.</w:t>
      </w:r>
    </w:p>
    <w:p>
      <w:pPr>
        <w:pStyle w:val="Heading3"/>
      </w:pPr>
      <w:r>
        <w:rPr>
          <w:sz w:val="24"/>
        </w:rPr>
        <w:t>Slide 13/31: (Untitled)</w:t>
      </w:r>
    </w:p>
    <w:p>
      <w:r>
        <w:rPr>
          <w:i/>
          <w:color w:val="888888"/>
        </w:rPr>
        <w:t>[Image placeholder]</w:t>
      </w:r>
    </w:p>
    <w:p>
      <w:pPr>
        <w:spacing w:before="80" w:after="80"/>
        <w:shd w:fill="E8E8E8" w:val="clear"/>
      </w:pPr>
      <w:r>
        <w:rPr>
          <w:i/>
          <w:color w:val="444444"/>
          <w:sz w:val="18"/>
        </w:rPr>
        <w:t>Speaker Notes: Data model in ClaimCenter (9 of 9)</w:t>
        <w:br/>
        <w:t>The check entity holds information specific to a payment. Although the term used here is check, it actually means any form of payment including physical paper checks or electronic fund transfers. Along with the relationships to the transaction and claim contact, it maintains information such as Pay To, GrossAmount, BankAccount, and Checklnstructions.</w:t>
      </w:r>
    </w:p>
    <w:p>
      <w:pPr>
        <w:pStyle w:val="Heading3"/>
      </w:pPr>
      <w:r>
        <w:rPr>
          <w:sz w:val="24"/>
        </w:rPr>
        <w:t>Slide 14/31: (Untitled)</w:t>
      </w:r>
    </w:p>
    <w:p>
      <w:r>
        <w:rPr>
          <w:i/>
          <w:color w:val="888888"/>
        </w:rPr>
        <w:t>[Image placeholder]</w:t>
      </w:r>
    </w:p>
    <w:p>
      <w:pPr>
        <w:pStyle w:val="Heading3"/>
      </w:pPr>
      <w:r>
        <w:rPr>
          <w:sz w:val="24"/>
        </w:rPr>
        <w:t>Slide 15/31: (Untitled)</w:t>
      </w:r>
    </w:p>
    <w:p>
      <w:pPr>
        <w:pStyle w:val="Heading3"/>
      </w:pPr>
      <w:r>
        <w:rPr>
          <w:sz w:val="24"/>
        </w:rPr>
        <w:t>Slide 16/31: (Untitled)</w:t>
      </w:r>
    </w:p>
    <w:p>
      <w:r>
        <w:rPr>
          <w:i/>
          <w:color w:val="888888"/>
        </w:rPr>
        <w:t>[Image placeholder]</w:t>
      </w:r>
    </w:p>
    <w:p>
      <w:pPr>
        <w:spacing w:before="80" w:after="80"/>
        <w:shd w:fill="E8E8E8" w:val="clear"/>
      </w:pPr>
      <w:r>
        <w:rPr>
          <w:i/>
          <w:color w:val="444444"/>
          <w:sz w:val="18"/>
        </w:rPr>
        <w:t>Speaker Notes: The Data Dictionary</w:t>
        <w:br/>
        <w:t>The ClaimCenter Data Dictionaty documents all the entities and typelists in a ClaimCenter installation. The dictionary documents both the  base Claim Center data model and your extensions, provided that you regenerate it following any data model customizatiom Using the Data Dictionary, you can view information about each entity or typelist.</w:t>
        <w:br/>
        <w:br/>
        <w:t>The Data Dictionary must be manually generated after installing Guidewire ClaimCenter. Guidewire strongly recommends that you perform this task as part of the installation process. Also, as the data model is extended, it is important that the Data Dictionary be regenerated in order to include your extensions in the data dictionary. To generate the ClaimCenter Data Dictionary,  run gwb genDataDictionary using a command line from the ClaimCenter directory.</w:t>
        <w:br/>
        <w:br/>
        <w:t>ClaimCenter stores the Data Dictionary in&lt;install directory&gt;/build/dictionary/data</w:t>
        <w:br/>
        <w:br/>
        <w:t>To view the Data Dictionary, open the index.html file in that directory.</w:t>
      </w:r>
    </w:p>
    <w:p>
      <w:pPr>
        <w:pStyle w:val="Heading3"/>
      </w:pPr>
      <w:r>
        <w:rPr>
          <w:sz w:val="24"/>
        </w:rPr>
        <w:t>Slide 17/31: (Untitled)</w:t>
      </w:r>
    </w:p>
    <w:p>
      <w:r>
        <w:rPr>
          <w:i/>
          <w:color w:val="888888"/>
        </w:rPr>
        <w:t>[Image placeholder]</w:t>
      </w:r>
    </w:p>
    <w:p>
      <w:pPr>
        <w:spacing w:before="80" w:after="80"/>
        <w:shd w:fill="E8E8E8" w:val="clear"/>
      </w:pPr>
      <w:r>
        <w:rPr>
          <w:i/>
          <w:color w:val="444444"/>
          <w:sz w:val="18"/>
        </w:rPr>
        <w:t>Speaker Notes: The Data Dictionary</w:t>
        <w:br/>
        <w:t>The Data Dictionary contains three kinds of data entity views: full, database, and migration. The Data Entities link is the full view.</w:t>
        <w:br/>
        <w:br/>
        <w:t>The full view shows both the persistent and virtual (non- persistent) entities, and includes columns, typekeys, arrays, foreign keys, derivedarrays, derived properties, and subtypes for each entity,</w:t>
        <w:br/>
        <w:br/>
        <w:t>The database view shows all non-virtual, or persistent, entities and their definitions.</w:t>
        <w:br/>
        <w:br/>
        <w:t>The migration view shows only persistent, loadable entities, columns and their definitions. The columns createUserld and createTime are examples of non-loadable columns. This view is used primarily for developingmigration plans for legacy systems.</w:t>
      </w:r>
    </w:p>
    <w:p>
      <w:pPr>
        <w:pStyle w:val="Heading3"/>
      </w:pPr>
      <w:r>
        <w:rPr>
          <w:sz w:val="24"/>
        </w:rPr>
        <w:t>Slide 18/31: (Untitled)</w:t>
      </w:r>
    </w:p>
    <w:p>
      <w:r>
        <w:rPr>
          <w:i/>
          <w:color w:val="888888"/>
        </w:rPr>
        <w:t>[Image placeholder]</w:t>
      </w:r>
    </w:p>
    <w:p>
      <w:pPr>
        <w:spacing w:before="80" w:after="80"/>
        <w:shd w:fill="E8E8E8" w:val="clear"/>
      </w:pPr>
      <w:r>
        <w:rPr>
          <w:i/>
          <w:color w:val="444444"/>
          <w:sz w:val="18"/>
        </w:rPr>
        <w:t>Speaker Notes: Using the Data Dictionary</w:t>
        <w:br/>
        <w:t>The Data Dictionary provides details about each entity and TypeList used in ClaimCenter- Those details are useful to understand how each part of a claim, maintained on separate entities, relates to the others. It is also useful to know the details  (fields, arrays, foreign keys) thatare on each of the entities. Those aspects are useful when deciding what fields you can add to a view (or screen), use in Business Rules or what you can export for integration or reporting.</w:t>
      </w:r>
    </w:p>
    <w:p>
      <w:pPr>
        <w:pStyle w:val="Heading3"/>
      </w:pPr>
      <w:r>
        <w:rPr>
          <w:sz w:val="24"/>
        </w:rPr>
        <w:t>Slide 19/31: (Untitled)</w:t>
      </w:r>
    </w:p>
    <w:p>
      <w:r>
        <w:rPr>
          <w:i/>
          <w:color w:val="888888"/>
        </w:rPr>
        <w:t>[Image placeholder]</w:t>
      </w:r>
    </w:p>
    <w:p>
      <w:pPr>
        <w:spacing w:before="80" w:after="80"/>
        <w:shd w:fill="E8E8E8" w:val="clear"/>
      </w:pPr>
      <w:r>
        <w:rPr>
          <w:i/>
          <w:color w:val="444444"/>
          <w:sz w:val="18"/>
        </w:rPr>
        <w:t>Speaker Notes: Entity header</w:t>
        <w:br/>
        <w:t>The Data Dictionary shows details about the selected entity, showing the name of the entity and the associated database table along with any delegates it may have. A delegate is an abstract entity that defines a set of fields and methods needed by other entities to enable a specific behavior. Any entity that needs that behavior is assigned that delegate entity. For example, ClaimCenter has four entities that can be assigned to users: claim, exposure, activity and matter. It also has an assignable delegate entity that contains the fields and methods needed for assignment (AssignedUser and AssignedGroup)-</w:t>
        <w:br/>
        <w:br/>
        <w:t>The entities claim, exposure, activity, and matter all delegate to this entity, therefore, all have the fields and methods required for assignment. The dictionary also shows a list of attributes within the entity as well as other entities which have a foreign key reference to the entity.</w:t>
      </w:r>
    </w:p>
    <w:p>
      <w:pPr>
        <w:pStyle w:val="Heading3"/>
      </w:pPr>
      <w:r>
        <w:rPr>
          <w:sz w:val="24"/>
        </w:rPr>
        <w:t>Slide 20/31: (Untitled)</w:t>
      </w:r>
    </w:p>
    <w:p>
      <w:r>
        <w:rPr>
          <w:i/>
          <w:color w:val="888888"/>
        </w:rPr>
        <w:t>[Image placeholder]</w:t>
      </w:r>
    </w:p>
    <w:p>
      <w:pPr>
        <w:spacing w:before="80" w:after="80"/>
        <w:shd w:fill="E8E8E8" w:val="clear"/>
      </w:pPr>
      <w:r>
        <w:rPr>
          <w:i/>
          <w:color w:val="444444"/>
          <w:sz w:val="18"/>
        </w:rPr>
        <w:t>Speaker Notes: Subtypes list</w:t>
        <w:br/>
        <w:t>The full, database, and migration views separate entity subtypes from the main entity supertype. A supertype relates to a subtype in a parent-child relationship. This example shows the Contact entity and all of its subtypes. The Contact entity has three (3) subtypes: Company, Person, and Place. Company is subtyped as CompanyVendor, which is further subtyped. Person is subtyped as Adjudicator, PersonVendor, and UserContact.</w:t>
        <w:br/>
        <w:br/>
        <w:t>Subtypes, like PersonVendor, inherit all of the attributes of their supertype and have attributes that are specific to that subtype, in this case, PersonVendor.</w:t>
      </w:r>
    </w:p>
    <w:p>
      <w:pPr>
        <w:pStyle w:val="Heading3"/>
      </w:pPr>
      <w:r>
        <w:rPr>
          <w:sz w:val="24"/>
        </w:rPr>
        <w:t>Slide 21/31: (Untitled)</w:t>
      </w:r>
    </w:p>
    <w:p>
      <w:r>
        <w:rPr>
          <w:i/>
          <w:color w:val="888888"/>
        </w:rPr>
        <w:t>[Image placeholder]</w:t>
      </w:r>
    </w:p>
    <w:p>
      <w:pPr>
        <w:spacing w:before="80" w:after="80"/>
        <w:shd w:fill="E8E8E8" w:val="clear"/>
      </w:pPr>
      <w:r>
        <w:rPr>
          <w:i/>
          <w:color w:val="444444"/>
          <w:sz w:val="18"/>
        </w:rPr>
        <w:t>Speaker Notes: Fields list</w:t>
        <w:br/>
        <w:t>On the entity page, there is a section for Fields which shows information about each field on the entity. It includes columns, foreign keys, type keys and virtual properties. Properties that are part of the base application are shown in dark green, whereas entity extensions are shown in dark blue. If a property is virtual, then its data type is listed as "Derived property returning some data type“</w:t>
        <w:br/>
        <w:br/>
        <w:t>The dictionary also includes a link to show all of the User Interface  (IJI) elements that use a specific property. When that link is selected, each field used in the user interface includes a table that shows the specific screen, the label, and the value of the property on the screen.</w:t>
      </w:r>
    </w:p>
    <w:p>
      <w:pPr>
        <w:pStyle w:val="Heading3"/>
      </w:pPr>
      <w:r>
        <w:rPr>
          <w:sz w:val="24"/>
        </w:rPr>
        <w:t>Slide 22/31: (Untitled)</w:t>
      </w:r>
    </w:p>
    <w:p>
      <w:r>
        <w:rPr>
          <w:i/>
          <w:color w:val="888888"/>
        </w:rPr>
        <w:t>[Image placeholder]</w:t>
      </w:r>
    </w:p>
    <w:p>
      <w:pPr>
        <w:pStyle w:val="Heading3"/>
      </w:pPr>
      <w:r>
        <w:rPr>
          <w:sz w:val="24"/>
        </w:rPr>
        <w:t>Slide 23/31: (Untitled)</w:t>
      </w:r>
    </w:p>
    <w:p>
      <w:pPr>
        <w:pStyle w:val="Heading3"/>
      </w:pPr>
      <w:r>
        <w:rPr>
          <w:sz w:val="24"/>
        </w:rPr>
        <w:t>Slide 24/31: (Untitled)</w:t>
      </w:r>
    </w:p>
    <w:p>
      <w:r>
        <w:rPr>
          <w:i/>
          <w:color w:val="888888"/>
        </w:rPr>
        <w:t>[Image placeholder]</w:t>
      </w:r>
    </w:p>
    <w:p>
      <w:pPr>
        <w:pStyle w:val="Heading3"/>
      </w:pPr>
      <w:r>
        <w:rPr>
          <w:sz w:val="24"/>
        </w:rPr>
        <w:t>Slide 25/31: (Untitled)</w:t>
      </w:r>
    </w:p>
    <w:p>
      <w:r>
        <w:rPr>
          <w:i/>
          <w:color w:val="888888"/>
        </w:rPr>
        <w:t>[Image placeholder]</w:t>
      </w:r>
    </w:p>
    <w:p>
      <w:pPr>
        <w:pStyle w:val="Heading3"/>
      </w:pPr>
      <w:r>
        <w:rPr>
          <w:sz w:val="24"/>
        </w:rPr>
        <w:t>Slide 26/31: (Untitled)</w:t>
      </w:r>
    </w:p>
    <w:p>
      <w:r>
        <w:rPr>
          <w:i/>
          <w:color w:val="888888"/>
        </w:rPr>
        <w:t>[Image placeholder]</w:t>
      </w:r>
    </w:p>
    <w:p>
      <w:pPr>
        <w:pStyle w:val="Heading3"/>
      </w:pPr>
      <w:r>
        <w:rPr>
          <w:sz w:val="24"/>
        </w:rPr>
        <w:t>Slide 27/31: (Untitled)</w:t>
      </w:r>
    </w:p>
    <w:p>
      <w:r>
        <w:rPr>
          <w:i/>
          <w:color w:val="888888"/>
        </w:rPr>
        <w:t>[Image placeholder]</w:t>
      </w:r>
    </w:p>
    <w:p>
      <w:pPr>
        <w:pStyle w:val="Heading3"/>
      </w:pPr>
      <w:r>
        <w:rPr>
          <w:sz w:val="24"/>
        </w:rPr>
        <w:t>Slide 28/31: (Untitled)</w:t>
      </w:r>
    </w:p>
    <w:p>
      <w:r>
        <w:rPr>
          <w:i/>
          <w:color w:val="888888"/>
        </w:rPr>
        <w:t>[Image placeholder]</w:t>
      </w:r>
    </w:p>
    <w:p>
      <w:pPr>
        <w:pStyle w:val="Heading3"/>
      </w:pPr>
      <w:r>
        <w:rPr>
          <w:sz w:val="24"/>
        </w:rPr>
        <w:t>Slide 29/31: (Untitled)</w:t>
      </w:r>
    </w:p>
    <w:p>
      <w:r>
        <w:rPr>
          <w:i/>
          <w:color w:val="888888"/>
        </w:rPr>
        <w:t>[Image placeholder]</w:t>
      </w:r>
    </w:p>
    <w:p>
      <w:pPr>
        <w:pStyle w:val="Heading3"/>
      </w:pPr>
      <w:r>
        <w:rPr>
          <w:sz w:val="24"/>
        </w:rPr>
        <w:t>Slide 30/31: (Untitled)</w:t>
      </w:r>
    </w:p>
    <w:p>
      <w:r>
        <w:rPr>
          <w:i/>
          <w:color w:val="888888"/>
        </w:rPr>
        <w:t>[Image placeholder]</w:t>
      </w:r>
    </w:p>
    <w:p>
      <w:pPr>
        <w:pStyle w:val="Heading3"/>
      </w:pPr>
      <w:r>
        <w:rPr>
          <w:sz w:val="24"/>
        </w:rPr>
        <w:t>Slide 31/31: (Untitled)</w:t>
      </w:r>
    </w:p>
    <w:p>
      <w:r>
        <w:rPr>
          <w:i/>
          <w:color w:val="888888"/>
        </w:rPr>
        <w:t>[Image placeholder]</w:t>
      </w:r>
    </w:p>
    <w:p>
      <w:pPr>
        <w:pStyle w:val="Heading2"/>
      </w:pPr>
      <w:r>
        <w:t>Assignment</w:t>
      </w:r>
    </w:p>
    <w:p>
      <w:r>
        <w:rPr>
          <w:b/>
          <w:color w:val="008800"/>
        </w:rPr>
        <w:t>[Assignment 06]: Claim Setup</w:t>
      </w:r>
    </w:p>
    <w:p>
      <w:r>
        <w:rPr>
          <w:i/>
          <w:sz w:val="18"/>
        </w:rPr>
        <w:t>File: 06 - Claim Setup.pdf</w:t>
      </w:r>
    </w:p>
    <w:p/>
    <w:p>
      <w:pPr>
        <w:spacing w:before="240"/>
        <w:jc w:val="center"/>
      </w:pPr>
      <w:r>
        <w:rPr>
          <w:i/>
          <w:color w:val="999999"/>
          <w:sz w:val="16"/>
        </w:rPr>
        <w:t>--- End of Lesson 6: Introduction to Data Model | 31 slides | 3 videos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