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8: Introduction to Worker's Compensation Exposures</w:t>
      </w:r>
    </w:p>
    <w:p>
      <w:pPr>
        <w:spacing w:after="40"/>
      </w:pPr>
      <w:r>
        <w:rPr>
          <w:i/>
          <w:color w:val="999999"/>
          <w:sz w:val="16"/>
        </w:rPr>
        <w:t>Source: IS_Claim_08_Introduction to Worker's Compensation Exposures.pptx</w:t>
      </w:r>
    </w:p>
    <w:p>
      <w:pPr>
        <w:pStyle w:val="Heading3"/>
      </w:pPr>
      <w:r>
        <w:t>Video References</w:t>
      </w:r>
    </w:p>
    <w:p>
      <w:pPr>
        <w:pStyle w:val="ListNumber"/>
      </w:pPr>
      <w:r>
        <w:rPr>
          <w:color w:val="0066CC"/>
          <w:sz w:val="20"/>
        </w:rPr>
        <w:t>[Video 1: IS_Claim_01_08.mp4]</w:t>
      </w:r>
    </w:p>
    <w:p>
      <w:pPr>
        <w:pStyle w:val="ListNumber"/>
      </w:pPr>
      <w:r>
        <w:rPr>
          <w:color w:val="0066CC"/>
          <w:sz w:val="20"/>
        </w:rPr>
        <w:t>[Video 2: IS_Claim_08_01.mp4]</w:t>
      </w:r>
    </w:p>
    <w:p>
      <w:pPr>
        <w:pStyle w:val="ListNumber"/>
      </w:pPr>
      <w:r>
        <w:rPr>
          <w:color w:val="0066CC"/>
          <w:sz w:val="20"/>
        </w:rPr>
        <w:t>[Video 3: IS_Claim_08_02.mp4]</w:t>
      </w:r>
    </w:p>
    <w:p>
      <w:pPr>
        <w:pStyle w:val="ListNumber"/>
      </w:pPr>
      <w:r>
        <w:rPr>
          <w:color w:val="0066CC"/>
          <w:sz w:val="20"/>
        </w:rPr>
        <w:t>[Video 4: IS_Claim_08_03.mp4]</w:t>
      </w:r>
    </w:p>
    <w:p>
      <w:pPr>
        <w:pStyle w:val="ListNumber"/>
      </w:pPr>
      <w:r>
        <w:rPr>
          <w:color w:val="0066CC"/>
          <w:sz w:val="20"/>
        </w:rPr>
        <w:t>[Video 5: IS_Claim_08_04.mp4]</w:t>
      </w:r>
    </w:p>
    <w:p/>
    <w:p>
      <w:pPr>
        <w:pStyle w:val="Heading2"/>
      </w:pPr>
      <w:r>
        <w:t>Slide Content</w:t>
      </w:r>
    </w:p>
    <w:p>
      <w:pPr>
        <w:pStyle w:val="Heading3"/>
      </w:pPr>
      <w:r>
        <w:rPr>
          <w:sz w:val="24"/>
        </w:rPr>
        <w:t>Slide 1/47: (Untitled)</w:t>
      </w:r>
    </w:p>
    <w:p>
      <w:r>
        <w:rPr>
          <w:i/>
          <w:color w:val="888888"/>
        </w:rPr>
        <w:t>[Image placeholder]</w:t>
      </w:r>
    </w:p>
    <w:p>
      <w:pPr>
        <w:pStyle w:val="Heading3"/>
      </w:pPr>
      <w:r>
        <w:rPr>
          <w:sz w:val="24"/>
        </w:rPr>
        <w:t>Slide 2/47: (Untitled)</w:t>
      </w:r>
    </w:p>
    <w:p>
      <w:r>
        <w:rPr>
          <w:i/>
          <w:color w:val="888888"/>
        </w:rPr>
        <w:t>[Image placeholder]</w:t>
      </w:r>
    </w:p>
    <w:p>
      <w:pPr>
        <w:pStyle w:val="Heading3"/>
      </w:pPr>
      <w:r>
        <w:rPr>
          <w:sz w:val="24"/>
        </w:rPr>
        <w:t>Slide 3/47: (Untitled)</w:t>
      </w:r>
    </w:p>
    <w:p>
      <w:r>
        <w:rPr>
          <w:i/>
          <w:color w:val="888888"/>
        </w:rPr>
        <w:t>[Image placeholder]</w:t>
      </w:r>
    </w:p>
    <w:p>
      <w:pPr>
        <w:pStyle w:val="Heading3"/>
      </w:pPr>
      <w:r>
        <w:rPr>
          <w:sz w:val="24"/>
        </w:rPr>
        <w:t>Slide 4/47: (Untitled)</w:t>
      </w:r>
    </w:p>
    <w:p>
      <w:r>
        <w:rPr>
          <w:i/>
          <w:color w:val="888888"/>
        </w:rPr>
        <w:t>[Image placeholder]</w:t>
      </w:r>
    </w:p>
    <w:p>
      <w:pPr>
        <w:spacing w:before="80" w:after="80"/>
        <w:shd w:fill="E8E8E8" w:val="clear"/>
      </w:pPr>
      <w:r>
        <w:rPr>
          <w:i/>
          <w:color w:val="444444"/>
          <w:sz w:val="18"/>
        </w:rPr>
        <w:t>Speaker Notes: Line of business model: Overview</w:t>
        <w:br/>
        <w:t>ClaimCenter is delivered out of the box with several pre- configured business lines in the LOB model. You can see these when adding a new claim or exposure- Based on the line of business presented or selected, you will have different options.</w:t>
        <w:br/>
        <w:br/>
        <w:t>The structure of the Line of Business is defined in six distinct typelists:</w:t>
        <w:br/>
        <w:br/>
        <w:t xml:space="preserve">LossType is a broad industry category for P&amp;C insurance activity. A claim's Loss Type helps determine the IJI elements to use or display. For example, the New Claim Wizard has a Loss Details screen. Details about the injured worker's employment data and injuries appear in the IJI only when the LossType is Worker's Comp.  The LOB (line of business)  level splits the LossType into more granular levels for reporting purposes- This level is used for reporting and management by a carrier and can roughly be seen as business units. A given LossType may have many Lines of Business associated with it. </w:t>
        <w:br/>
        <w:br/>
        <w:t>Policy Type defines the types of policies the insurer sells- A policy is a product that is sold to customers and that promises to pay money when a specified LossType occurs. In the base configuration, the only Policy Type under the Workers' Comp LOB is the Workers' Comp policy, but one LOB may have many Policy Types..</w:t>
        <w:br/>
        <w:br/>
        <w:t>A Coverage Type (CovType) defines specific items that the carrier will indemnify as part of the policy contract- A Policy Type can include many CoverageTypes-</w:t>
        <w:br/>
        <w:br/>
        <w:t>Exposure Typeis a set of information needed for a given exposure during claims processing. It relates to one or more CoverageTypes.</w:t>
        <w:br/>
        <w:br/>
        <w:t>Coverage Sub type is a pairing of one ExposureType and one CoverageType, used to implement the many-to- many relationship between CoverageTypes and ExposureTypes</w:t>
      </w:r>
    </w:p>
    <w:p>
      <w:pPr>
        <w:pStyle w:val="Heading3"/>
      </w:pPr>
      <w:r>
        <w:rPr>
          <w:sz w:val="24"/>
        </w:rPr>
        <w:t>Slide 5/47: (Untitled)</w:t>
      </w:r>
    </w:p>
    <w:p>
      <w:r>
        <w:rPr>
          <w:i/>
          <w:color w:val="888888"/>
        </w:rPr>
        <w:t>[Image placeholder]</w:t>
      </w:r>
    </w:p>
    <w:p>
      <w:pPr>
        <w:spacing w:before="80" w:after="80"/>
        <w:shd w:fill="E8E8E8" w:val="clear"/>
      </w:pPr>
      <w:r>
        <w:rPr>
          <w:i/>
          <w:color w:val="444444"/>
          <w:sz w:val="18"/>
        </w:rPr>
        <w:t>Speaker Notes: Workers' compensation exposure types</w:t>
        <w:br/>
        <w:t>Recall that an exposure is a set of data used to track a potential payment from one coverage to one claimant.</w:t>
        <w:br/>
        <w:br/>
        <w:t>(In the case of Workers’ Compensation, the coverage(s) is (are) determined by applicable laws/acts/regulations.)</w:t>
        <w:br/>
        <w:br/>
        <w:t>Note that you do not manually create exposures on a Workers’ Compensation claim. They are automatically created when certain conditions are met.</w:t>
      </w:r>
    </w:p>
    <w:p>
      <w:pPr>
        <w:pStyle w:val="Heading3"/>
      </w:pPr>
      <w:r>
        <w:rPr>
          <w:sz w:val="24"/>
        </w:rPr>
        <w:t>Slide 6/47: (Untitled)</w:t>
      </w:r>
    </w:p>
    <w:p>
      <w:r>
        <w:rPr>
          <w:i/>
          <w:color w:val="888888"/>
        </w:rPr>
        <w:t>[Image placeholder]</w:t>
      </w:r>
    </w:p>
    <w:p>
      <w:pPr>
        <w:pStyle w:val="Heading3"/>
      </w:pPr>
      <w:r>
        <w:rPr>
          <w:sz w:val="24"/>
        </w:rPr>
        <w:t>Slide 7/47: (Untitled)</w:t>
      </w:r>
    </w:p>
    <w:p>
      <w:pPr>
        <w:pStyle w:val="Heading3"/>
      </w:pPr>
      <w:r>
        <w:rPr>
          <w:sz w:val="24"/>
        </w:rPr>
        <w:t>Slide 8/47: (Untitled)</w:t>
      </w:r>
    </w:p>
    <w:p>
      <w:r>
        <w:rPr>
          <w:i/>
          <w:color w:val="888888"/>
        </w:rPr>
        <w:t>[Image placeholder]</w:t>
      </w:r>
    </w:p>
    <w:p>
      <w:pPr>
        <w:spacing w:before="80" w:after="80"/>
        <w:shd w:fill="E8E8E8" w:val="clear"/>
      </w:pPr>
      <w:r>
        <w:rPr>
          <w:i/>
          <w:color w:val="444444"/>
          <w:sz w:val="18"/>
        </w:rPr>
        <w:t>Speaker Notes: Medical details exposure activities</w:t>
        <w:br/>
        <w:t>Additional activities can be created and made "Related to“ the exposure.</w:t>
        <w:br/>
        <w:br/>
        <w:t>The purpose of obtaining the initial medical report is to capture any ICD-IO codes and/or diagnoses from a physician that may have occurred during intake or when the IW was first treated.</w:t>
      </w:r>
    </w:p>
    <w:p>
      <w:pPr>
        <w:pStyle w:val="Heading3"/>
      </w:pPr>
      <w:r>
        <w:rPr>
          <w:sz w:val="24"/>
        </w:rPr>
        <w:t>Slide 9/47: (Untitled)</w:t>
      </w:r>
    </w:p>
    <w:p>
      <w:r>
        <w:rPr>
          <w:i/>
          <w:color w:val="888888"/>
        </w:rPr>
        <w:t>[Image placeholder]</w:t>
      </w:r>
    </w:p>
    <w:p>
      <w:pPr>
        <w:pStyle w:val="Heading3"/>
      </w:pPr>
      <w:r>
        <w:rPr>
          <w:sz w:val="24"/>
        </w:rPr>
        <w:t>Slide 10/47: (Untitled)</w:t>
      </w:r>
    </w:p>
    <w:p>
      <w:pPr>
        <w:pStyle w:val="Heading3"/>
      </w:pPr>
      <w:r>
        <w:rPr>
          <w:sz w:val="24"/>
        </w:rPr>
        <w:t>Slide 11/47: (Untitled)</w:t>
      </w:r>
    </w:p>
    <w:p>
      <w:r>
        <w:rPr>
          <w:i/>
          <w:color w:val="888888"/>
        </w:rPr>
        <w:t>[Image placeholder]</w:t>
      </w:r>
    </w:p>
    <w:p>
      <w:pPr>
        <w:spacing w:before="80" w:after="80"/>
        <w:shd w:fill="E8E8E8" w:val="clear"/>
      </w:pPr>
      <w:r>
        <w:rPr>
          <w:i/>
          <w:color w:val="444444"/>
          <w:sz w:val="18"/>
        </w:rPr>
        <w:t>Speaker Notes: Administration: Searching and managing ICD-IO Codes</w:t>
        <w:br/>
        <w:t>Entering the first few characters (case-sensitive) of a code will retrieve all codes that "start with“ that fragment. You may also navigate through ICD-IO codes by clicking on an entered code on an existing claim. The code contains a link to www.icdlOdata.com which will provide information about the code (full name, description and documentation) from the site as well as navigation to other sibling codes in the hierarchy.</w:t>
        <w:br/>
        <w:br/>
        <w:t>A user with appropriate permissions may manage ICD-IO codes in the Administration tab. Here you may add codes, designate codes as chronic, and set available and expiration dates for codes. The Administration tab is also where ICD-IO codes may also be added by using the Import Data utility (Administration tab Utilities Import Data) or a command-line tool.</w:t>
      </w:r>
    </w:p>
    <w:p>
      <w:pPr>
        <w:pStyle w:val="Heading3"/>
      </w:pPr>
      <w:r>
        <w:rPr>
          <w:sz w:val="24"/>
        </w:rPr>
        <w:t>Slide 12/47: (Untitled)</w:t>
      </w:r>
    </w:p>
    <w:p>
      <w:r>
        <w:rPr>
          <w:i/>
          <w:color w:val="888888"/>
        </w:rPr>
        <w:t>[Image placeholder]</w:t>
      </w:r>
    </w:p>
    <w:p>
      <w:pPr>
        <w:spacing w:before="80" w:after="80"/>
        <w:shd w:fill="E8E8E8" w:val="clear"/>
      </w:pPr>
      <w:r>
        <w:rPr>
          <w:i/>
          <w:color w:val="444444"/>
          <w:sz w:val="18"/>
        </w:rPr>
        <w:t>Speaker Notes: Medical Case Management card</w:t>
        <w:br/>
        <w:t>While medical case management (MCM, or MedCase) is usually used for severe, "catastrophic", or complex injuries or medical issues, it could be used at any time. Each insurer may decide what determines the necessity for medical case management. An insurer may decide to pursue MCM on any claims with lost time of 1 week or more. An insurer may decide to pursue MCM on any claim involving back injuries or surgery (inpatient or outpatient) or hospitalization.</w:t>
        <w:br/>
        <w:br/>
        <w:t>A "catastrophic" WC claim is a claim involving an IW that has severe, debilitating, or long-term injuries or illnesses. Back/spinal injuries, paralysis, brain damage,  and amputation are examples of catastrophic claims. Generally, any catastrophic claim will require medical case management.</w:t>
        <w:br/>
        <w:br/>
        <w:t>The purpose of the Medical Case Mgmt (Management) card is to provide a summary of information from Loss Details. It can represent multiple injuries to a single Injured Worker (IW). This is what the nurse case manager works on. The screenshot shows a newly created Medical Case Mgmt card, where sparse information has been gathered.  This is likely what a case manager will see when they first begin work. As case management work proceeds, each list view may have multiple pieces of data and information.</w:t>
      </w:r>
    </w:p>
    <w:p>
      <w:pPr>
        <w:pStyle w:val="Heading3"/>
      </w:pPr>
      <w:r>
        <w:rPr>
          <w:sz w:val="24"/>
        </w:rPr>
        <w:t>Slide 13/47: (Untitled)</w:t>
      </w:r>
    </w:p>
    <w:p>
      <w:r>
        <w:rPr>
          <w:i/>
          <w:color w:val="888888"/>
        </w:rPr>
        <w:t>[Image placeholder]</w:t>
      </w:r>
    </w:p>
    <w:p>
      <w:pPr>
        <w:spacing w:before="80" w:after="80"/>
        <w:shd w:fill="E8E8E8" w:val="clear"/>
      </w:pPr>
      <w:r>
        <w:rPr>
          <w:i/>
          <w:color w:val="444444"/>
          <w:sz w:val="18"/>
        </w:rPr>
        <w:t>Speaker Notes: Medical Case Management</w:t>
        <w:br/>
        <w:t>Medical Case Management (MCM) also helps insurers control costs by ensuring only the necessary treatments are being pursued.</w:t>
        <w:br/>
        <w:br/>
        <w:t>Depending on state or provincial laws as well as other nationalregulations (if applicable), important limits and conditions may be imposed on medical treatments and medical costs associated with injured workers.</w:t>
        <w:br/>
        <w:br/>
        <w:t>States and insurance boards are increasingly scrutinizing this process by setting maximums,  limits and regulations (that is, you can't have more than 24 chiropractic visits).</w:t>
        <w:br/>
        <w:br/>
        <w:t>Because of the high costs associated with medical treatments in general, workers’ compensation is often a political issue. Many states, state insurance boards, and other governmental bodies try to lower costs by imposing fee schedules, treatment limits, safety training and certification programs, to try to lower workers' compensation costs. Much of what happens regarding workers' compensation rights and law occurs at the state or provincial level. Each state may have very different laws and regulations and practices (for example, many states do not follow NCCI standards or NCCI class codes).</w:t>
        <w:br/>
        <w:br/>
        <w:t>In Europe and other parts of the world, workers' compensation regulations are frequently determined at the national level.</w:t>
      </w:r>
    </w:p>
    <w:p>
      <w:pPr>
        <w:pStyle w:val="Heading3"/>
      </w:pPr>
      <w:r>
        <w:rPr>
          <w:sz w:val="24"/>
        </w:rPr>
        <w:t>Slide 14/47: (Untitled)</w:t>
      </w:r>
    </w:p>
    <w:p>
      <w:r>
        <w:rPr>
          <w:i/>
          <w:color w:val="888888"/>
        </w:rPr>
        <w:t>[Image placeholder]</w:t>
      </w:r>
    </w:p>
    <w:p>
      <w:pPr>
        <w:pStyle w:val="Heading3"/>
      </w:pPr>
      <w:r>
        <w:rPr>
          <w:sz w:val="24"/>
        </w:rPr>
        <w:t>Slide 15/47: (Untitled)</w:t>
      </w:r>
    </w:p>
    <w:p>
      <w:r>
        <w:rPr>
          <w:i/>
          <w:color w:val="888888"/>
        </w:rPr>
        <w:t>[Image placeholder]</w:t>
      </w:r>
    </w:p>
    <w:p>
      <w:pPr>
        <w:pStyle w:val="Heading3"/>
      </w:pPr>
      <w:r>
        <w:rPr>
          <w:sz w:val="24"/>
        </w:rPr>
        <w:t>Slide 16/47: (Untitled)</w:t>
      </w:r>
    </w:p>
    <w:p>
      <w:pPr>
        <w:pStyle w:val="Heading3"/>
      </w:pPr>
      <w:r>
        <w:rPr>
          <w:sz w:val="24"/>
        </w:rPr>
        <w:t>Slide 17/47: (Untitled)</w:t>
      </w:r>
    </w:p>
    <w:p>
      <w:r>
        <w:rPr>
          <w:i/>
          <w:color w:val="888888"/>
        </w:rPr>
        <w:t>[Image placeholder]</w:t>
      </w:r>
    </w:p>
    <w:p>
      <w:pPr>
        <w:spacing w:before="80" w:after="80"/>
        <w:shd w:fill="E8E8E8" w:val="clear"/>
      </w:pPr>
      <w:r>
        <w:rPr>
          <w:i/>
          <w:color w:val="444444"/>
          <w:sz w:val="18"/>
        </w:rPr>
        <w:t>Speaker Notes: Additional medical details</w:t>
        <w:br/>
        <w:t>The MPN (Medical Provider Network) information is often crucial due to the fact that the IW must receive treatment from  physician in the network in order for costs to be reimbursable. This is often confirmation that the correct policy or employer- confirmed network is being used.</w:t>
      </w:r>
    </w:p>
    <w:p>
      <w:pPr>
        <w:pStyle w:val="Heading3"/>
      </w:pPr>
      <w:r>
        <w:rPr>
          <w:sz w:val="24"/>
        </w:rPr>
        <w:t>Slide 18/47: (Untitled)</w:t>
      </w:r>
    </w:p>
    <w:p>
      <w:r>
        <w:rPr>
          <w:i/>
          <w:color w:val="888888"/>
        </w:rPr>
        <w:t>[Image placeholder]</w:t>
      </w:r>
    </w:p>
    <w:p>
      <w:pPr>
        <w:pStyle w:val="Heading3"/>
      </w:pPr>
      <w:r>
        <w:rPr>
          <w:sz w:val="24"/>
        </w:rPr>
        <w:t>Slide 19/47: (Untitled)</w:t>
      </w:r>
    </w:p>
    <w:p>
      <w:r>
        <w:rPr>
          <w:i/>
          <w:color w:val="888888"/>
        </w:rPr>
        <w:t>[Image placeholder]</w:t>
      </w:r>
    </w:p>
    <w:p>
      <w:pPr>
        <w:pStyle w:val="Heading3"/>
      </w:pPr>
      <w:r>
        <w:rPr>
          <w:sz w:val="24"/>
        </w:rPr>
        <w:t>Slide 20/47: (Untitled)</w:t>
      </w:r>
    </w:p>
    <w:p>
      <w:pPr>
        <w:pStyle w:val="Heading3"/>
      </w:pPr>
      <w:r>
        <w:rPr>
          <w:sz w:val="24"/>
        </w:rPr>
        <w:t>Slide 21/47: (Untitled)</w:t>
      </w:r>
    </w:p>
    <w:p>
      <w:r>
        <w:rPr>
          <w:i/>
          <w:color w:val="888888"/>
        </w:rPr>
        <w:t>[Image placeholder]</w:t>
      </w:r>
    </w:p>
    <w:p>
      <w:pPr>
        <w:pStyle w:val="Heading3"/>
      </w:pPr>
      <w:r>
        <w:rPr>
          <w:sz w:val="24"/>
        </w:rPr>
        <w:t>Slide 22/47: (Untitled)</w:t>
      </w:r>
    </w:p>
    <w:p>
      <w:r>
        <w:rPr>
          <w:i/>
          <w:color w:val="888888"/>
        </w:rPr>
        <w:t>[Image placeholder]</w:t>
      </w:r>
    </w:p>
    <w:p>
      <w:pPr>
        <w:spacing w:before="80" w:after="80"/>
        <w:shd w:fill="E8E8E8" w:val="clear"/>
      </w:pPr>
      <w:r>
        <w:rPr>
          <w:i/>
          <w:color w:val="444444"/>
          <w:sz w:val="18"/>
        </w:rPr>
        <w:t>Speaker Notes: Indemnity exposure activity</w:t>
        <w:br/>
        <w:t>The purpose of the "Get wage statement and tax status" activity is to obtain the necessary wage/salary information for the worker, including a e Tax status“ which means the worker's Social Security Number (or other identification number).</w:t>
      </w:r>
    </w:p>
    <w:p>
      <w:pPr>
        <w:pStyle w:val="Heading3"/>
      </w:pPr>
      <w:r>
        <w:rPr>
          <w:sz w:val="24"/>
        </w:rPr>
        <w:t>Slide 23/47: (Untitled)</w:t>
      </w:r>
    </w:p>
    <w:p>
      <w:r>
        <w:rPr>
          <w:i/>
          <w:color w:val="888888"/>
        </w:rPr>
        <w:t>[Image placeholder]</w:t>
      </w:r>
    </w:p>
    <w:p>
      <w:pPr>
        <w:spacing w:before="80" w:after="80"/>
        <w:shd w:fill="E8E8E8" w:val="clear"/>
      </w:pPr>
      <w:r>
        <w:rPr>
          <w:i/>
          <w:color w:val="444444"/>
          <w:sz w:val="18"/>
        </w:rPr>
        <w:t>Speaker Notes: Indemnity benefit parameters</w:t>
        <w:br/>
        <w:t>Administering and editing these parameters is covered in the EWorkers' Comp: AdministeringClaimCenter" lesson of the ClaimCenter Intro Essentials  (Workers' Compensation) course.  In ClaimCenter 8.x, the benefit parameters are considered •past“ benefit parameters because they may only have information for calendar year 2008. Consult governmental WC boards or state agencies for the last benefit parameter rates.</w:t>
      </w:r>
    </w:p>
    <w:p>
      <w:pPr>
        <w:pStyle w:val="Heading3"/>
      </w:pPr>
      <w:r>
        <w:rPr>
          <w:sz w:val="24"/>
        </w:rPr>
        <w:t>Slide 24/47: (Untitled)</w:t>
      </w:r>
    </w:p>
    <w:p>
      <w:r>
        <w:rPr>
          <w:i/>
          <w:color w:val="888888"/>
        </w:rPr>
        <w:t>[Image placeholder]</w:t>
      </w:r>
    </w:p>
    <w:p>
      <w:pPr>
        <w:spacing w:before="80" w:after="80"/>
        <w:shd w:fill="E8E8E8" w:val="clear"/>
      </w:pPr>
      <w:r>
        <w:rPr>
          <w:i/>
          <w:color w:val="444444"/>
          <w:sz w:val="18"/>
        </w:rPr>
        <w:t>Speaker Notes: WC disability types</w:t>
        <w:br/>
        <w:t>Reminder: MMI = Maximum Medical Improvement.</w:t>
        <w:br/>
        <w:br/>
        <w:t>The definition of each classification is provided later in this lesson.</w:t>
        <w:br/>
        <w:br/>
        <w:t>At a high level, the difference between temporary disability and permanent disability is that temporary disability is pre-MMI and permanent disability is  MMI. Permanent disability means either the worker permanently cannot work at all or can only work in a limited fashion.</w:t>
      </w:r>
    </w:p>
    <w:p>
      <w:pPr>
        <w:pStyle w:val="Heading3"/>
      </w:pPr>
      <w:r>
        <w:rPr>
          <w:sz w:val="24"/>
        </w:rPr>
        <w:t>Slide 25/47: (Untitled)</w:t>
      </w:r>
    </w:p>
    <w:p>
      <w:r>
        <w:rPr>
          <w:i/>
          <w:color w:val="888888"/>
        </w:rPr>
        <w:t>[Image placeholder]</w:t>
      </w:r>
    </w:p>
    <w:p>
      <w:pPr>
        <w:spacing w:before="80" w:after="80"/>
        <w:shd w:fill="E8E8E8" w:val="clear"/>
      </w:pPr>
      <w:r>
        <w:rPr>
          <w:i/>
          <w:color w:val="444444"/>
          <w:sz w:val="18"/>
        </w:rPr>
        <w:t>Speaker Notes: Complexity of benefit payments</w:t>
        <w:br/>
        <w:t>Some jurisdictions will pay immediately if the worker is hospitalized or a victim of crime and waive the waiting period.  Some jurisdictions adjust comp rates based on number of IW’s dependents. Some jurisdiction  (i.e. Florida, Pennsylvania) have their own more complex comp rate formulas (instead of the standard 67% of AWW), or disregard TPD altogether (i.e New Jersey).</w:t>
        <w:br/>
        <w:br/>
        <w:t>Some workers come back to work but fall ill again and go off work.</w:t>
        <w:br/>
        <w:br/>
        <w:t xml:space="preserve">Often the adjuster cannot make an exact calculation at a point in time because it is not known yet if the worker is back at work yet, ready to work, or able to work </w:t>
        <w:br/>
        <w:t>alternate job. Many (if not all) of the factors and complexities of payroll processing apply to WC benefit payments.</w:t>
      </w:r>
    </w:p>
    <w:p>
      <w:pPr>
        <w:pStyle w:val="Heading3"/>
      </w:pPr>
      <w:r>
        <w:rPr>
          <w:sz w:val="24"/>
        </w:rPr>
        <w:t>Slide 26/47: (Untitled)</w:t>
      </w:r>
    </w:p>
    <w:p>
      <w:r>
        <w:rPr>
          <w:i/>
          <w:color w:val="888888"/>
        </w:rPr>
        <w:t>[Image placeholder]</w:t>
      </w:r>
    </w:p>
    <w:p>
      <w:pPr>
        <w:pStyle w:val="Heading3"/>
      </w:pPr>
      <w:r>
        <w:rPr>
          <w:sz w:val="24"/>
        </w:rPr>
        <w:t>Slide 27/47: (Untitled)</w:t>
      </w:r>
    </w:p>
    <w:p>
      <w:r>
        <w:rPr>
          <w:i/>
          <w:color w:val="888888"/>
        </w:rPr>
        <w:t>[Image placeholder]</w:t>
      </w:r>
    </w:p>
    <w:p>
      <w:pPr>
        <w:spacing w:before="80" w:after="80"/>
        <w:shd w:fill="E8E8E8" w:val="clear"/>
      </w:pPr>
      <w:r>
        <w:rPr>
          <w:i/>
          <w:color w:val="444444"/>
          <w:sz w:val="18"/>
        </w:rPr>
        <w:t>Speaker Notes: TTD process</w:t>
        <w:br/>
        <w:t>Recall that in TTD the worker is off work completely.</w:t>
        <w:br/>
        <w:br/>
        <w:t>Differential example: an IW with an AWW of $800 and Post-Injury wage of $500 has a Differential of $300</w:t>
      </w:r>
    </w:p>
    <w:p>
      <w:pPr>
        <w:pStyle w:val="Heading3"/>
      </w:pPr>
      <w:r>
        <w:rPr>
          <w:sz w:val="24"/>
        </w:rPr>
        <w:t>Slide 28/47: (Untitled)</w:t>
      </w:r>
    </w:p>
    <w:p>
      <w:r>
        <w:rPr>
          <w:i/>
          <w:color w:val="888888"/>
        </w:rPr>
        <w:t>[Image placeholder]</w:t>
      </w:r>
    </w:p>
    <w:p>
      <w:pPr>
        <w:pStyle w:val="Heading3"/>
      </w:pPr>
      <w:r>
        <w:rPr>
          <w:sz w:val="24"/>
        </w:rPr>
        <w:t>Slide 29/47: (Untitled)</w:t>
      </w:r>
    </w:p>
    <w:p>
      <w:r>
        <w:rPr>
          <w:i/>
          <w:color w:val="888888"/>
        </w:rPr>
        <w:t>[Image placeholder]</w:t>
      </w:r>
    </w:p>
    <w:p>
      <w:pPr>
        <w:spacing w:before="80" w:after="80"/>
        <w:shd w:fill="E8E8E8" w:val="clear"/>
      </w:pPr>
      <w:r>
        <w:rPr>
          <w:i/>
          <w:color w:val="444444"/>
          <w:sz w:val="18"/>
        </w:rPr>
        <w:t>Speaker Notes: Permanent Partial and Total Disa bility</w:t>
        <w:br/>
        <w:t>The MMI (Maximum Medical  Improvement) threshold is the point at which the IW has been treated to a point of healing completely, or to an exhaustion of treatment options and/or limits.  An example would be a worker that due to a severe fall, lost useof their leg. Through therapy, P T, treatment and rest, the worker can regain some use of their leg  (70%) after many months, but no additional use is available or medically possible. The worker is now on permanent disability.</w:t>
        <w:br/>
        <w:br/>
        <w:t>Some jurisdictions provide specific PPD benefits, known as Supplemental Job Displacement Benefits". This is money towards retraining, skill/vocational training in the form of a lump sum voucher (books, tools, licensing exam fees and general licensingfees) (usually in the range of $5,000 to $8,000).</w:t>
        <w:br/>
        <w:br/>
        <w:t>Settlements can be reached in regard to PD payments between the carrier and the claimant.</w:t>
        <w:br/>
        <w:br/>
        <w:t>Due to the severity and/or long- term effects of Permanent Disability claims, these kinds of claims are often classified as •Catastrophic" claims.</w:t>
      </w:r>
    </w:p>
    <w:p>
      <w:pPr>
        <w:pStyle w:val="Heading3"/>
      </w:pPr>
      <w:r>
        <w:rPr>
          <w:sz w:val="24"/>
        </w:rPr>
        <w:t>Slide 30/47: (Untitled)</w:t>
      </w:r>
    </w:p>
    <w:p>
      <w:r>
        <w:rPr>
          <w:i/>
          <w:color w:val="888888"/>
        </w:rPr>
        <w:t>[Image placeholder]</w:t>
      </w:r>
    </w:p>
    <w:p>
      <w:pPr>
        <w:pStyle w:val="Heading3"/>
      </w:pPr>
      <w:r>
        <w:rPr>
          <w:sz w:val="24"/>
        </w:rPr>
        <w:t>Slide 31/47: (Untitled)</w:t>
      </w:r>
    </w:p>
    <w:p>
      <w:r>
        <w:rPr>
          <w:i/>
          <w:color w:val="888888"/>
        </w:rPr>
        <w:t>[Image placeholder]</w:t>
      </w:r>
    </w:p>
    <w:p>
      <w:pPr>
        <w:pStyle w:val="Heading3"/>
      </w:pPr>
      <w:r>
        <w:rPr>
          <w:sz w:val="24"/>
        </w:rPr>
        <w:t>Slide 32/47: (Untitled)</w:t>
      </w:r>
    </w:p>
    <w:p>
      <w:r>
        <w:rPr>
          <w:i/>
          <w:color w:val="888888"/>
        </w:rPr>
        <w:t>[Image placeholder]</w:t>
      </w:r>
    </w:p>
    <w:p>
      <w:pPr>
        <w:spacing w:before="80" w:after="80"/>
        <w:shd w:fill="E8E8E8" w:val="clear"/>
      </w:pPr>
      <w:r>
        <w:rPr>
          <w:i/>
          <w:color w:val="444444"/>
          <w:sz w:val="18"/>
        </w:rPr>
        <w:t>Speaker Notes: PPD example</w:t>
        <w:br/>
        <w:t>In the example, the comp rate is capped at a total payment of $23,000 (which is $230 x 100). The $230 max state comp rate is used because the impairment rating falls in the first threshold of 1 to 69%. If the impairment rating was, say, 72%, the max comp rate would be $270 (as seen on slide 26).</w:t>
      </w:r>
    </w:p>
    <w:p>
      <w:pPr>
        <w:pStyle w:val="Heading3"/>
      </w:pPr>
      <w:r>
        <w:rPr>
          <w:sz w:val="24"/>
        </w:rPr>
        <w:t>Slide 33/47: (Untitled)</w:t>
      </w:r>
    </w:p>
    <w:p>
      <w:r>
        <w:rPr>
          <w:i/>
          <w:color w:val="888888"/>
        </w:rPr>
        <w:t>[Image placeholder]</w:t>
      </w:r>
    </w:p>
    <w:p>
      <w:pPr>
        <w:spacing w:before="80" w:after="80"/>
        <w:shd w:fill="E8E8E8" w:val="clear"/>
      </w:pPr>
      <w:r>
        <w:rPr>
          <w:i/>
          <w:color w:val="444444"/>
          <w:sz w:val="18"/>
        </w:rPr>
        <w:t>Speaker Notes: Minimum adjustments</w:t>
        <w:br/>
        <w:t>For TPD, if a post-injury weekly wage is available, the "AWW“ would be the differential.</w:t>
      </w:r>
    </w:p>
    <w:p>
      <w:pPr>
        <w:pStyle w:val="Heading3"/>
      </w:pPr>
      <w:r>
        <w:rPr>
          <w:sz w:val="24"/>
        </w:rPr>
        <w:t>Slide 34/47: (Untitled)</w:t>
      </w:r>
    </w:p>
    <w:p>
      <w:r>
        <w:rPr>
          <w:i/>
          <w:color w:val="888888"/>
        </w:rPr>
        <w:t>[Image placeholder]</w:t>
      </w:r>
    </w:p>
    <w:p>
      <w:pPr>
        <w:spacing w:before="80" w:after="80"/>
        <w:shd w:fill="E8E8E8" w:val="clear"/>
      </w:pPr>
      <w:r>
        <w:rPr>
          <w:i/>
          <w:color w:val="444444"/>
          <w:sz w:val="18"/>
        </w:rPr>
        <w:t>Speaker Notes: Minimum adjustment example: TTD</w:t>
        <w:br/>
        <w:t>If the minimum adjustment is triggered (as shown above), an explanation text is provided on the Time Loss exposure Benefits card for the "Minimum Adjustment" explaining the lower weekly comp rate.</w:t>
        <w:br/>
        <w:br/>
        <w:t>If Minimum adjusted by Weekly Wage = "No", then the weekly comp rate is set to the min state comp rate and no adjustment text is provided.</w:t>
      </w:r>
    </w:p>
    <w:p>
      <w:pPr>
        <w:pStyle w:val="Heading3"/>
      </w:pPr>
      <w:r>
        <w:rPr>
          <w:sz w:val="24"/>
        </w:rPr>
        <w:t>Slide 35/47: (Untitled)</w:t>
      </w:r>
    </w:p>
    <w:p>
      <w:r>
        <w:rPr>
          <w:i/>
          <w:color w:val="888888"/>
        </w:rPr>
        <w:t>[Image placeholder]</w:t>
      </w:r>
    </w:p>
    <w:p>
      <w:pPr>
        <w:pStyle w:val="Heading3"/>
      </w:pPr>
      <w:r>
        <w:rPr>
          <w:sz w:val="24"/>
        </w:rPr>
        <w:t>Slide 36/47: (Untitled)</w:t>
      </w:r>
    </w:p>
    <w:p>
      <w:r>
        <w:rPr>
          <w:i/>
          <w:color w:val="888888"/>
        </w:rPr>
        <w:t>[Image placeholder]</w:t>
      </w:r>
    </w:p>
    <w:p>
      <w:pPr>
        <w:pStyle w:val="Heading3"/>
      </w:pPr>
      <w:r>
        <w:rPr>
          <w:sz w:val="24"/>
        </w:rPr>
        <w:t>Slide 37/47: (Untitled)</w:t>
      </w:r>
    </w:p>
    <w:p>
      <w:r>
        <w:rPr>
          <w:i/>
          <w:color w:val="888888"/>
        </w:rPr>
        <w:t>[Image placeholder]</w:t>
      </w:r>
    </w:p>
    <w:p>
      <w:pPr>
        <w:pStyle w:val="Heading3"/>
      </w:pPr>
      <w:r>
        <w:rPr>
          <w:sz w:val="24"/>
        </w:rPr>
        <w:t>Slide 38/47: (Untitled)</w:t>
      </w:r>
    </w:p>
    <w:p>
      <w:r>
        <w:rPr>
          <w:i/>
          <w:color w:val="888888"/>
        </w:rPr>
        <w:t>[Image placeholder]</w:t>
      </w:r>
    </w:p>
    <w:p>
      <w:pPr>
        <w:pStyle w:val="Heading3"/>
      </w:pPr>
      <w:r>
        <w:rPr>
          <w:sz w:val="24"/>
        </w:rPr>
        <w:t>Slide 39/47: (Untitled)</w:t>
      </w:r>
    </w:p>
    <w:p>
      <w:r>
        <w:rPr>
          <w:i/>
          <w:color w:val="888888"/>
        </w:rPr>
        <w:t>[Image placeholder]</w:t>
      </w:r>
    </w:p>
    <w:p>
      <w:pPr>
        <w:pStyle w:val="Heading3"/>
      </w:pPr>
      <w:r>
        <w:rPr>
          <w:sz w:val="24"/>
        </w:rPr>
        <w:t>Slide 40/47: (Untitled)</w:t>
      </w:r>
    </w:p>
    <w:p>
      <w:r>
        <w:rPr>
          <w:i/>
          <w:color w:val="888888"/>
        </w:rPr>
        <w:t>[Image placeholder]</w:t>
      </w:r>
    </w:p>
    <w:p>
      <w:pPr>
        <w:pStyle w:val="Heading3"/>
      </w:pPr>
      <w:r>
        <w:rPr>
          <w:sz w:val="24"/>
        </w:rPr>
        <w:t>Slide 41/47: (Untitled)</w:t>
      </w:r>
    </w:p>
    <w:p>
      <w:r>
        <w:rPr>
          <w:i/>
          <w:color w:val="888888"/>
        </w:rPr>
        <w:t>[Image placeholder]</w:t>
      </w:r>
    </w:p>
    <w:p>
      <w:pPr>
        <w:pStyle w:val="Heading3"/>
      </w:pPr>
      <w:r>
        <w:rPr>
          <w:sz w:val="24"/>
        </w:rPr>
        <w:t>Slide 42/47: (Untitled)</w:t>
      </w:r>
    </w:p>
    <w:p>
      <w:r>
        <w:rPr>
          <w:i/>
          <w:color w:val="888888"/>
        </w:rPr>
        <w:t>[Image placeholder]</w:t>
      </w:r>
    </w:p>
    <w:p>
      <w:pPr>
        <w:pStyle w:val="Heading3"/>
      </w:pPr>
      <w:r>
        <w:rPr>
          <w:sz w:val="24"/>
        </w:rPr>
        <w:t>Slide 43/47: (Untitled)</w:t>
      </w:r>
    </w:p>
    <w:p>
      <w:r>
        <w:rPr>
          <w:i/>
          <w:color w:val="888888"/>
        </w:rPr>
        <w:t>[Image placeholder]</w:t>
      </w:r>
    </w:p>
    <w:p>
      <w:pPr>
        <w:pStyle w:val="Heading3"/>
      </w:pPr>
      <w:r>
        <w:rPr>
          <w:sz w:val="24"/>
        </w:rPr>
        <w:t>Slide 44/47: (Untitled)</w:t>
      </w:r>
    </w:p>
    <w:p>
      <w:r>
        <w:rPr>
          <w:i/>
          <w:color w:val="888888"/>
        </w:rPr>
        <w:t>[Image placeholder]</w:t>
      </w:r>
    </w:p>
    <w:p>
      <w:pPr>
        <w:pStyle w:val="Heading3"/>
      </w:pPr>
      <w:r>
        <w:rPr>
          <w:sz w:val="24"/>
        </w:rPr>
        <w:t>Slide 45/47: (Untitled)</w:t>
      </w:r>
    </w:p>
    <w:p>
      <w:r>
        <w:rPr>
          <w:i/>
          <w:color w:val="888888"/>
        </w:rPr>
        <w:t>[Image placeholder]</w:t>
      </w:r>
    </w:p>
    <w:p>
      <w:pPr>
        <w:pStyle w:val="Heading3"/>
      </w:pPr>
      <w:r>
        <w:rPr>
          <w:sz w:val="24"/>
        </w:rPr>
        <w:t>Slide 46/47: (Untitled)</w:t>
      </w:r>
    </w:p>
    <w:p>
      <w:r>
        <w:rPr>
          <w:i/>
          <w:color w:val="888888"/>
        </w:rPr>
        <w:t>[Image placeholder]</w:t>
      </w:r>
    </w:p>
    <w:p>
      <w:pPr>
        <w:pStyle w:val="Heading3"/>
      </w:pPr>
      <w:r>
        <w:rPr>
          <w:sz w:val="24"/>
        </w:rPr>
        <w:t>Slide 47/47: (Untitled)</w:t>
      </w:r>
    </w:p>
    <w:p>
      <w:r>
        <w:rPr>
          <w:i/>
          <w:color w:val="888888"/>
        </w:rPr>
        <w:t>[Image placeholder]</w:t>
      </w:r>
    </w:p>
    <w:p>
      <w:pPr>
        <w:pStyle w:val="Heading2"/>
      </w:pPr>
      <w:r>
        <w:t>Assignment</w:t>
      </w:r>
    </w:p>
    <w:p>
      <w:r>
        <w:rPr>
          <w:b/>
          <w:color w:val="008800"/>
        </w:rPr>
        <w:t>[Assignment 08]: Adjudication</w:t>
      </w:r>
    </w:p>
    <w:p>
      <w:r>
        <w:rPr>
          <w:i/>
          <w:sz w:val="18"/>
        </w:rPr>
        <w:t>File: 08 - Adjudication.pdf</w:t>
      </w:r>
    </w:p>
    <w:p/>
    <w:p>
      <w:pPr>
        <w:spacing w:before="240"/>
        <w:jc w:val="center"/>
      </w:pPr>
      <w:r>
        <w:rPr>
          <w:i/>
          <w:color w:val="999999"/>
          <w:sz w:val="16"/>
        </w:rPr>
        <w:t>--- End of Lesson 8: Introduction to Worker's Compensation Exposures | 47 slides | 5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