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05: Claim Center Introduction</w:t>
      </w:r>
    </w:p>
    <w:p>
      <w:pPr>
        <w:pStyle w:val="Heading2"/>
      </w:pPr>
      <w:r>
        <w:rPr>
          <w:color w:val="333333"/>
          <w:sz w:val="28"/>
        </w:rPr>
        <w:t>Lesson 16: Introduction to Administering workers' compensation</w:t>
      </w:r>
    </w:p>
    <w:p>
      <w:pPr>
        <w:spacing w:after="40"/>
      </w:pPr>
      <w:r>
        <w:rPr>
          <w:i/>
          <w:color w:val="999999"/>
          <w:sz w:val="16"/>
        </w:rPr>
        <w:t>Source: IS_Claim_16_Introduction to Administering workers' compensation.pptx</w:t>
      </w:r>
    </w:p>
    <w:p>
      <w:pPr>
        <w:pStyle w:val="Heading3"/>
      </w:pPr>
      <w:r>
        <w:t>Video References</w:t>
      </w:r>
    </w:p>
    <w:p>
      <w:pPr>
        <w:pStyle w:val="ListNumber"/>
      </w:pPr>
      <w:r>
        <w:rPr>
          <w:color w:val="0066CC"/>
          <w:sz w:val="20"/>
        </w:rPr>
        <w:t>[Video 1: IS_Claim_16_01.mp4]</w:t>
      </w:r>
    </w:p>
    <w:p>
      <w:pPr>
        <w:pStyle w:val="ListNumber"/>
      </w:pPr>
      <w:r>
        <w:rPr>
          <w:color w:val="0066CC"/>
          <w:sz w:val="20"/>
        </w:rPr>
        <w:t>[Video 2: IS_Claim_16_02.mp4]</w:t>
      </w:r>
    </w:p>
    <w:p/>
    <w:p>
      <w:pPr>
        <w:pStyle w:val="Heading2"/>
      </w:pPr>
      <w:r>
        <w:t>Slide Content</w:t>
      </w:r>
    </w:p>
    <w:p>
      <w:pPr>
        <w:pStyle w:val="Heading3"/>
      </w:pPr>
      <w:r>
        <w:rPr>
          <w:sz w:val="24"/>
        </w:rPr>
        <w:t>Slide 1/39: (Untitled)</w:t>
      </w:r>
    </w:p>
    <w:p>
      <w:r>
        <w:rPr>
          <w:i/>
          <w:color w:val="888888"/>
        </w:rPr>
        <w:t>[Image placeholder]</w:t>
      </w:r>
    </w:p>
    <w:p>
      <w:pPr>
        <w:pStyle w:val="Heading3"/>
      </w:pPr>
      <w:r>
        <w:rPr>
          <w:sz w:val="24"/>
        </w:rPr>
        <w:t>Slide 2/39: (Untitled)</w:t>
      </w:r>
    </w:p>
    <w:p>
      <w:r>
        <w:rPr>
          <w:i/>
          <w:color w:val="888888"/>
        </w:rPr>
        <w:t>[Image placeholder]</w:t>
      </w:r>
    </w:p>
    <w:p>
      <w:pPr>
        <w:pStyle w:val="Heading3"/>
      </w:pPr>
      <w:r>
        <w:rPr>
          <w:sz w:val="24"/>
        </w:rPr>
        <w:t>Slide 3/39: (Untitled)</w:t>
      </w:r>
    </w:p>
    <w:p>
      <w:r>
        <w:rPr>
          <w:i/>
          <w:color w:val="888888"/>
        </w:rPr>
        <w:t>[Image placeholder]</w:t>
      </w:r>
    </w:p>
    <w:p>
      <w:pPr>
        <w:pStyle w:val="Heading3"/>
      </w:pPr>
      <w:r>
        <w:rPr>
          <w:sz w:val="24"/>
        </w:rPr>
        <w:t>Slide 4/39: (Untitled)</w:t>
      </w:r>
    </w:p>
    <w:p>
      <w:r>
        <w:rPr>
          <w:i/>
          <w:color w:val="888888"/>
        </w:rPr>
        <w:t>[Image placeholder]</w:t>
      </w:r>
    </w:p>
    <w:p>
      <w:pPr>
        <w:pStyle w:val="Heading3"/>
      </w:pPr>
      <w:r>
        <w:rPr>
          <w:sz w:val="24"/>
        </w:rPr>
        <w:t>Slide 5/39: (Untitled)</w:t>
      </w:r>
    </w:p>
    <w:p>
      <w:r>
        <w:rPr>
          <w:i/>
          <w:color w:val="888888"/>
        </w:rPr>
        <w:t>[Image placeholder]</w:t>
      </w:r>
    </w:p>
    <w:p>
      <w:pPr>
        <w:spacing w:before="80" w:after="80"/>
        <w:shd w:fill="E8E8E8" w:val="clear"/>
      </w:pPr>
      <w:r>
        <w:rPr>
          <w:i/>
          <w:color w:val="444444"/>
          <w:sz w:val="18"/>
        </w:rPr>
        <w:t>Speaker Notes: ClaimCenter setup for WC background</w:t>
        <w:br/>
        <w:t>NOTE: This lesson primarily describes administration tasks you can perform in ClaimCenter. Configuration tasks in Guidewire Studio are not needed to perform many of the administration tasks described.</w:t>
        <w:br/>
        <w:br/>
        <w:t>The example rates and parameters provided in this lesson are meant as samples for illustrative purposes only.</w:t>
      </w:r>
    </w:p>
    <w:p>
      <w:pPr>
        <w:pStyle w:val="Heading3"/>
      </w:pPr>
      <w:r>
        <w:rPr>
          <w:sz w:val="24"/>
        </w:rPr>
        <w:t>Slide 6/39: (Untitled)</w:t>
      </w:r>
    </w:p>
    <w:p>
      <w:r>
        <w:rPr>
          <w:i/>
          <w:color w:val="888888"/>
        </w:rPr>
        <w:t>[Image placeholder]</w:t>
      </w:r>
    </w:p>
    <w:p>
      <w:pPr>
        <w:spacing w:before="80" w:after="80"/>
        <w:shd w:fill="E8E8E8" w:val="clear"/>
      </w:pPr>
      <w:r>
        <w:rPr>
          <w:i/>
          <w:color w:val="444444"/>
          <w:sz w:val="18"/>
        </w:rPr>
        <w:t>Speaker Notes: ClaimCenter WC Administration screens</w:t>
        <w:br/>
        <w:t>Only users with the appropriate permissions have access to the Administration screen. From there, WC Parameters are accessed by navigating to Business Settings &gt; WC Parameters. The WC Parameters menu link contains four child menu links: Benefit Parameters : Provides a list of jurisdictions. Clicking a jurisdiction opens the Benefit Parameters Detail screen showing the set of benefit parameters for that jurisdictiom PPD Min I Max: Provides datasimilar to the PPD area of  the Benefit Parameter Detail screen, but with more detail</w:t>
        <w:br/>
        <w:br/>
        <w:t>PPD Weeks: Entry screen in which you can define the limits of how long the injured worker canreceive the workers’ compensation benefits, based on the disability.</w:t>
        <w:br/>
        <w:br/>
        <w:t>Compensability Parameters: Shows a list of jurisdictions and the maximum time for each that the insurer has to make a compensability decision, the denial period. Click a jurisdiction to open its Compensability Parameter Detail page, where you can edit the settings.</w:t>
      </w:r>
    </w:p>
    <w:p>
      <w:pPr>
        <w:pStyle w:val="Heading3"/>
      </w:pPr>
      <w:r>
        <w:rPr>
          <w:sz w:val="24"/>
        </w:rPr>
        <w:t>Slide 7/39: (Untitled)</w:t>
      </w:r>
    </w:p>
    <w:p>
      <w:r>
        <w:rPr>
          <w:i/>
          <w:color w:val="888888"/>
        </w:rPr>
        <w:t>[Image placeholder]</w:t>
      </w:r>
    </w:p>
    <w:p>
      <w:pPr>
        <w:pStyle w:val="Heading3"/>
      </w:pPr>
      <w:r>
        <w:rPr>
          <w:sz w:val="24"/>
        </w:rPr>
        <w:t>Slide 8/39: (Untitled)</w:t>
      </w:r>
    </w:p>
    <w:p>
      <w:r>
        <w:rPr>
          <w:i/>
          <w:color w:val="888888"/>
        </w:rPr>
        <w:t>[Image placeholder]</w:t>
      </w:r>
    </w:p>
    <w:p>
      <w:pPr>
        <w:spacing w:before="80" w:after="80"/>
        <w:shd w:fill="E8E8E8" w:val="clear"/>
      </w:pPr>
      <w:r>
        <w:rPr>
          <w:i/>
          <w:color w:val="444444"/>
          <w:sz w:val="18"/>
        </w:rPr>
        <w:t>Speaker Notes: Benefit parameters</w:t>
        <w:br/>
        <w:t xml:space="preserve">An important aspect of handling workers' compensation claims is calculating workers’ compensation payments for lost time. The following calculation is an example of a possible TPD(Temporary Partial Disability) calculation using AWW (Amount Weekly Wage): </w:t>
        <w:br/>
        <w:br/>
        <w:t>WeeklyCompRate = JurisdictionR ate x (Pre-injuryA WW - Post- injuryA</w:t>
        <w:br/>
        <w:br/>
        <w:t>It is possible for a state to calculate this value differently for each year. In the base configuration, ClaimCenter provides sample calculations for a few example states and more detailed sample PPD calculations for the state of California. The goal of these examples is to show you how you can calculate these amounts.</w:t>
        <w:br/>
        <w:t>You enter, manage, and edit various workers' compensation- related parameters through the ClaimCenter interface.  ClaimCenter then uses these parameters to perform the actual calculations. An adjuster can always override workers' comp amounts by entering a manual amount.</w:t>
      </w:r>
    </w:p>
    <w:p>
      <w:pPr>
        <w:pStyle w:val="Heading3"/>
      </w:pPr>
      <w:r>
        <w:rPr>
          <w:sz w:val="24"/>
        </w:rPr>
        <w:t>Slide 9/39: (Untitled)</w:t>
      </w:r>
    </w:p>
    <w:p>
      <w:r>
        <w:rPr>
          <w:i/>
          <w:color w:val="888888"/>
        </w:rPr>
        <w:t>[Image placeholder]</w:t>
      </w:r>
    </w:p>
    <w:p>
      <w:pPr>
        <w:spacing w:before="80" w:after="80"/>
        <w:shd w:fill="E8E8E8" w:val="clear"/>
      </w:pPr>
      <w:r>
        <w:rPr>
          <w:i/>
          <w:color w:val="444444"/>
          <w:sz w:val="18"/>
        </w:rPr>
        <w:t>Speaker Notes: Benefit parameters: definitions</w:t>
        <w:br/>
        <w:t>ClaimCenter can calculate benefits, for example, as Average Weekly Wage (AWW) times the Percent of Wages. If the result falls within the maximum and minimum, this calculated benefit amount becomes the benefit. Otherwise, the value is set to either the maximum or theminimum depending on the calculated value.</w:t>
        <w:br/>
        <w:br/>
        <w:t>If you set Minimum adjusted by Weekly Wage to Yes and the employee's AWW is less than the Minimum Weekly Benefit, the Calculation changes. The minimum amount that the worker can receive becomes the AWWrather than the Minimum Weekly Benefit</w:t>
        <w:br/>
        <w:br/>
        <w:t>For most jurisdictions, the percent of wages is usually two- thirds.</w:t>
        <w:br/>
        <w:br/>
        <w:t>The Maximum and Minimum weekly benefit rates are usually raised every year or so to account for inflation/cost of livingincreases. Therefore, there are</w:t>
        <w:br/>
        <w:t>rows in the Admin screen pertaining to each year (for California). Alternatively, you may alter the startlend dates accordingly if you want your parameters to apply for a longer period of time.</w:t>
        <w:br/>
        <w:br/>
        <w:t>Minimum adjusted by Weekly Wage is a yes/no value that handles cases where the AWW is below the minimum. If yes, the AVMW is used. If no, the minimum weekly benefit is used.</w:t>
      </w:r>
    </w:p>
    <w:p>
      <w:pPr>
        <w:pStyle w:val="Heading3"/>
      </w:pPr>
      <w:r>
        <w:rPr>
          <w:sz w:val="24"/>
        </w:rPr>
        <w:t>Slide 10/39: (Untitled)</w:t>
      </w:r>
    </w:p>
    <w:p>
      <w:r>
        <w:rPr>
          <w:i/>
          <w:color w:val="888888"/>
        </w:rPr>
        <w:t>[Image placeholder]</w:t>
      </w:r>
    </w:p>
    <w:p>
      <w:pPr>
        <w:spacing w:before="80" w:after="80"/>
        <w:shd w:fill="E8E8E8" w:val="clear"/>
      </w:pPr>
      <w:r>
        <w:rPr>
          <w:i/>
          <w:color w:val="444444"/>
          <w:sz w:val="18"/>
        </w:rPr>
        <w:t>Speaker Notes: Example: Time Loss exposure with no parameters</w:t>
        <w:br/>
        <w:t>ClaimCenter displays the results of the benefit calculations as benefits amounts in the Time Loss &gt; Benefits card of a workers' compensation claim. If This screen provides a view of any calculated values for each of the four benefit types. The screen shows any benefit factors relevant to the claim as well. It is possible to edit this screen and enter a weekly compensation rate manually.</w:t>
        <w:br/>
        <w:br/>
        <w:t>If there is no entry in Benefit Parameter appropriate for the claim, ClaimCenter sets the value of Reference Data for that benefit type to Not available.</w:t>
        <w:br/>
        <w:br/>
        <w:t>If ClaimCenter cannot calculate the Compensation Rate, meaning that CompRate == null, thenClaimCenter generates a Not available message.</w:t>
      </w:r>
    </w:p>
    <w:p>
      <w:pPr>
        <w:pStyle w:val="Heading3"/>
      </w:pPr>
      <w:r>
        <w:rPr>
          <w:sz w:val="24"/>
        </w:rPr>
        <w:t>Slide 11/39: (Untitled)</w:t>
      </w:r>
    </w:p>
    <w:p>
      <w:r>
        <w:rPr>
          <w:i/>
          <w:color w:val="888888"/>
        </w:rPr>
        <w:t>[Image placeholder]</w:t>
      </w:r>
    </w:p>
    <w:p>
      <w:pPr>
        <w:spacing w:before="80" w:after="80"/>
        <w:shd w:fill="E8E8E8" w:val="clear"/>
      </w:pPr>
      <w:r>
        <w:rPr>
          <w:i/>
          <w:color w:val="444444"/>
          <w:sz w:val="18"/>
        </w:rPr>
        <w:t>Speaker Notes: Matching claim data to WC benefit parameters</w:t>
        <w:br/>
        <w:t>The "Impairment Rating" is matched to the EDisability % “ value in the WC Admin parameters for PPD.</w:t>
        <w:br/>
        <w:br/>
        <w:t>The Amount Weekly Wage (AWW) is crucial for TTD, PTD and PPD calculations because each benefit type usually calculates a EO/o of wages" (the •wages" being AWW). For TPD the "wages" usually is the differential between Pre and Post Injury eamings.</w:t>
      </w:r>
    </w:p>
    <w:p>
      <w:pPr>
        <w:pStyle w:val="Heading3"/>
      </w:pPr>
      <w:r>
        <w:rPr>
          <w:sz w:val="24"/>
        </w:rPr>
        <w:t>Slide 12/39: (Untitled)</w:t>
      </w:r>
    </w:p>
    <w:p>
      <w:r>
        <w:rPr>
          <w:i/>
          <w:color w:val="888888"/>
        </w:rPr>
        <w:t>[Image placeholder]</w:t>
      </w:r>
    </w:p>
    <w:p>
      <w:pPr>
        <w:spacing w:before="80" w:after="80"/>
        <w:shd w:fill="E8E8E8" w:val="clear"/>
      </w:pPr>
      <w:r>
        <w:rPr>
          <w:i/>
          <w:color w:val="444444"/>
          <w:sz w:val="18"/>
        </w:rPr>
        <w:t>Speaker Notes: Other jurisdictional factors</w:t>
        <w:br/>
        <w:t>The "other" jurisdictional factors shown are provided as-is in the base applicatiom Florida doesindeed have unique laws when it comes to Workers' Comp, as do several other states/jurisdictions such as New Jersey, Texas,  Pennsylvania and California.</w:t>
        <w:br/>
        <w:br/>
        <w:t>Rules with a Category of "Override" in them in the base product sample data will have associated Gosu code to programmatically apply the overrides to the benefits. Consult with your implementation team regarding the specifics of how this code can be configured</w:t>
      </w:r>
    </w:p>
    <w:p>
      <w:pPr>
        <w:pStyle w:val="Heading3"/>
      </w:pPr>
      <w:r>
        <w:rPr>
          <w:sz w:val="24"/>
        </w:rPr>
        <w:t>Slide 13/39: (Untitled)</w:t>
      </w:r>
    </w:p>
    <w:p>
      <w:r>
        <w:rPr>
          <w:i/>
          <w:color w:val="888888"/>
        </w:rPr>
        <w:t>[Image placeholder]</w:t>
      </w:r>
    </w:p>
    <w:p>
      <w:pPr>
        <w:pStyle w:val="Heading3"/>
      </w:pPr>
      <w:r>
        <w:rPr>
          <w:sz w:val="24"/>
        </w:rPr>
        <w:t>Slide 14/39: (Untitled)</w:t>
      </w:r>
    </w:p>
    <w:p>
      <w:r>
        <w:rPr>
          <w:i/>
          <w:color w:val="888888"/>
        </w:rPr>
        <w:t>[Image placeholder]</w:t>
      </w:r>
    </w:p>
    <w:p>
      <w:pPr>
        <w:spacing w:before="80" w:after="80"/>
        <w:shd w:fill="E8E8E8" w:val="clear"/>
      </w:pPr>
      <w:r>
        <w:rPr>
          <w:i/>
          <w:color w:val="444444"/>
          <w:sz w:val="18"/>
        </w:rPr>
        <w:t>Speaker Notes: Impairment rating and disability percentage</w:t>
        <w:br/>
        <w:t>While PPD can apply to workers that have lost an appendage or limb, it is also common in situations where an IW cannot perform physical functions as well as they did prior to the injury. Often, the impairment rating could apply to the "whole body". It does not necessarily mean that 30% of a particular limb's use has been lost, but rather the workerhas lost 30% of their overall capacity for physical function.  In addition to setting a "number of weeks" based on an impairment rating, PPD minimax benefits are capped using two sets of minimax benefit values:</w:t>
        <w:br/>
        <w:t>1. Minimax rates for impairment ratings of 1% - 69%</w:t>
        <w:br/>
        <w:t>2. Minimax rates for impairment ratings of - 99%</w:t>
      </w:r>
    </w:p>
    <w:p>
      <w:pPr>
        <w:pStyle w:val="Heading3"/>
      </w:pPr>
      <w:r>
        <w:rPr>
          <w:sz w:val="24"/>
        </w:rPr>
        <w:t>Slide 15/39: (Untitled)</w:t>
      </w:r>
    </w:p>
    <w:p>
      <w:r>
        <w:rPr>
          <w:i/>
          <w:color w:val="888888"/>
        </w:rPr>
        <w:t>[Image placeholder]</w:t>
      </w:r>
    </w:p>
    <w:p>
      <w:pPr>
        <w:spacing w:before="80" w:after="80"/>
        <w:shd w:fill="E8E8E8" w:val="clear"/>
      </w:pPr>
      <w:r>
        <w:rPr>
          <w:i/>
          <w:color w:val="444444"/>
          <w:sz w:val="18"/>
        </w:rPr>
        <w:t>Speaker Notes: PPD administration parameters</w:t>
        <w:br/>
        <w:t>The volume of parameters for PPD (notice there are 20 pages of PPD weeks parameters) is much larger because of the very precise nature of calculating a benefit. Not only must you know the "Impairment Rating", you must match that impairment rating to a unique of weeks“ and determine the min/max either in the 1-69% bracket or 70-99% bracket. A disability percentage of 1% means 3 weeks of PPD, 2% means 6 weeks, 3% 9 weeks,  and so on (all the way to 99%).</w:t>
      </w:r>
    </w:p>
    <w:p>
      <w:pPr>
        <w:pStyle w:val="Heading3"/>
      </w:pPr>
      <w:r>
        <w:rPr>
          <w:sz w:val="24"/>
        </w:rPr>
        <w:t>Slide 16/39: (Untitled)</w:t>
      </w:r>
    </w:p>
    <w:p>
      <w:r>
        <w:rPr>
          <w:i/>
          <w:color w:val="888888"/>
        </w:rPr>
        <w:t>[Image placeholder]</w:t>
      </w:r>
    </w:p>
    <w:p>
      <w:pPr>
        <w:pStyle w:val="Heading3"/>
      </w:pPr>
      <w:r>
        <w:rPr>
          <w:sz w:val="24"/>
        </w:rPr>
        <w:t>Slide 17/39: (Untitled)</w:t>
      </w:r>
    </w:p>
    <w:p>
      <w:pPr>
        <w:pStyle w:val="Heading3"/>
      </w:pPr>
      <w:r>
        <w:rPr>
          <w:sz w:val="24"/>
        </w:rPr>
        <w:t>Slide 18/39: (Untitled)</w:t>
      </w:r>
    </w:p>
    <w:p>
      <w:r>
        <w:rPr>
          <w:i/>
          <w:color w:val="888888"/>
        </w:rPr>
        <w:t>[Image placeholder]</w:t>
      </w:r>
    </w:p>
    <w:p>
      <w:pPr>
        <w:pStyle w:val="Heading3"/>
      </w:pPr>
      <w:r>
        <w:rPr>
          <w:sz w:val="24"/>
        </w:rPr>
        <w:t>Slide 19/39: (Untitled)</w:t>
      </w:r>
    </w:p>
    <w:p>
      <w:r>
        <w:rPr>
          <w:i/>
          <w:color w:val="888888"/>
        </w:rPr>
        <w:t>[Image placeholder]</w:t>
      </w:r>
    </w:p>
    <w:p>
      <w:pPr>
        <w:spacing w:before="80" w:after="80"/>
        <w:shd w:fill="E8E8E8" w:val="clear"/>
      </w:pPr>
      <w:r>
        <w:rPr>
          <w:i/>
          <w:color w:val="444444"/>
          <w:sz w:val="18"/>
        </w:rPr>
        <w:t>Speaker Notes: Compensability decision</w:t>
        <w:br/>
        <w:t>The compensability decision, indicated inthe Loss Details screen, involves determining if a workers compensation claim is valid and hence, payable. There are several factors to consider when determining compensability. For example, an adjuster can ask a series of questions, such as, e Was safety equipment used?" or•was the person using illegal substances?" The adjuster alsoneeds to determine if the incidentwas accidental in nature or in the course of employment, or if there was jurisdiction. Jurisdiction addresses time, place, and employment relationship.</w:t>
      </w:r>
    </w:p>
    <w:p>
      <w:pPr>
        <w:pStyle w:val="Heading3"/>
      </w:pPr>
      <w:r>
        <w:rPr>
          <w:sz w:val="24"/>
        </w:rPr>
        <w:t>Slide 20/39: (Untitled)</w:t>
      </w:r>
    </w:p>
    <w:p>
      <w:r>
        <w:rPr>
          <w:i/>
          <w:color w:val="888888"/>
        </w:rPr>
        <w:t>[Image placeholder]</w:t>
      </w:r>
    </w:p>
    <w:p>
      <w:pPr>
        <w:spacing w:before="80" w:after="80"/>
        <w:shd w:fill="E8E8E8" w:val="clear"/>
      </w:pPr>
      <w:r>
        <w:rPr>
          <w:i/>
          <w:color w:val="444444"/>
          <w:sz w:val="18"/>
        </w:rPr>
        <w:t>Speaker Notes: Compensability parameters: denial period</w:t>
        <w:br/>
        <w:t>A denial period is the time in which an insurer must respond to a new WC claim. During that period, they must either accept or deny the claim. ClaimCenter creates a Determine Compensability activity with due and escalation dates based on the compensability parameters. Ifthere is not a matching parameter, the activity is created using the activity pattern arguments. In the base application, the target date is plus 5 days and the escalation date is plus 7 days.</w:t>
        <w:br/>
        <w:br/>
        <w:t>If jurisdictional data is not available, there is a note in the description of the activity stating that jurisdictional data is incomplete.</w:t>
        <w:br/>
        <w:br/>
        <w:t>The compensability parameter includes the target days and a denial period formula. The formula determines if the target date is calculated from the loss date, the notice date, or the greater of the two.  The target dates on this slide are just examples.</w:t>
      </w:r>
    </w:p>
    <w:p>
      <w:pPr>
        <w:pStyle w:val="Heading3"/>
      </w:pPr>
      <w:r>
        <w:rPr>
          <w:sz w:val="24"/>
        </w:rPr>
        <w:t>Slide 21/39: (Untitled)</w:t>
      </w:r>
    </w:p>
    <w:p>
      <w:r>
        <w:rPr>
          <w:i/>
          <w:color w:val="888888"/>
        </w:rPr>
        <w:t>[Image placeholder]</w:t>
      </w:r>
    </w:p>
    <w:p>
      <w:pPr>
        <w:pStyle w:val="Heading3"/>
      </w:pPr>
      <w:r>
        <w:rPr>
          <w:sz w:val="24"/>
        </w:rPr>
        <w:t>Slide 22/39: (Untitled)</w:t>
      </w:r>
    </w:p>
    <w:p>
      <w:r>
        <w:rPr>
          <w:i/>
          <w:color w:val="888888"/>
        </w:rPr>
        <w:t>[Image placeholder]</w:t>
      </w:r>
    </w:p>
    <w:p>
      <w:pPr>
        <w:spacing w:before="80" w:after="80"/>
        <w:shd w:fill="E8E8E8" w:val="clear"/>
      </w:pPr>
      <w:r>
        <w:rPr>
          <w:i/>
          <w:color w:val="444444"/>
          <w:sz w:val="18"/>
        </w:rPr>
        <w:t>Speaker Notes: ICD-IO codes</w:t>
        <w:br/>
        <w:t>The base application only provides ICD-IO codes in sample data. Work with your implementation team to the use of ICD-9 codes (if that is necessary).</w:t>
        <w:br/>
        <w:br/>
        <w:t>ICD stands for Intemational Statistical Classification of Diseases and Related Health Problems.</w:t>
      </w:r>
    </w:p>
    <w:p>
      <w:pPr>
        <w:pStyle w:val="Heading3"/>
      </w:pPr>
      <w:r>
        <w:rPr>
          <w:sz w:val="24"/>
        </w:rPr>
        <w:t>Slide 23/39: (Untitled)</w:t>
      </w:r>
    </w:p>
    <w:p>
      <w:r>
        <w:rPr>
          <w:i/>
          <w:color w:val="888888"/>
        </w:rPr>
        <w:t>[Image placeholder]</w:t>
      </w:r>
    </w:p>
    <w:p>
      <w:pPr>
        <w:spacing w:before="80" w:after="80"/>
        <w:shd w:fill="E8E8E8" w:val="clear"/>
      </w:pPr>
      <w:r>
        <w:rPr>
          <w:i/>
          <w:color w:val="444444"/>
          <w:sz w:val="18"/>
        </w:rPr>
        <w:t>Speaker Notes: Adding and editing ICD codes</w:t>
        <w:br/>
        <w:t>The set of ICD-IO codes is not final. Updates to ICD-IO codesare published by CMS (U.S. Centers for Medicare &amp; Medicaid Services) annually. An administrator has the ability to add new codes (as shown) or work to import the codes through Configuratiom</w:t>
        <w:br/>
        <w:br/>
        <w:t>In addition, the ICD-IO standard reflects all medical research and medical advances worldwide. Therefore, it is possible that ICD itself may add codes in the future if a new disease, ailment or illness is identified.</w:t>
        <w:br/>
        <w:br/>
        <w:t>Administrative users may add or edit ICD codes. To add a code,  click Add new code. To edit a code, click the code number in the list. Note that codes cannot be deleted in the base application.</w:t>
        <w:br/>
        <w:br/>
        <w:t>According to the World Health Organization, ICD-II will be released in 2018.</w:t>
      </w:r>
    </w:p>
    <w:p>
      <w:pPr>
        <w:pStyle w:val="Heading3"/>
      </w:pPr>
      <w:r>
        <w:rPr>
          <w:sz w:val="24"/>
        </w:rPr>
        <w:t>Slide 24/39: (Untitled)</w:t>
      </w:r>
    </w:p>
    <w:p>
      <w:r>
        <w:rPr>
          <w:i/>
          <w:color w:val="888888"/>
        </w:rPr>
        <w:t>[Image placeholder]</w:t>
      </w:r>
    </w:p>
    <w:p>
      <w:pPr>
        <w:pStyle w:val="Heading3"/>
      </w:pPr>
      <w:r>
        <w:rPr>
          <w:sz w:val="24"/>
        </w:rPr>
        <w:t>Slide 25/39: (Untitled)</w:t>
      </w:r>
    </w:p>
    <w:p>
      <w:r>
        <w:rPr>
          <w:i/>
          <w:color w:val="888888"/>
        </w:rPr>
        <w:t>[Image placeholder]</w:t>
      </w:r>
    </w:p>
    <w:p>
      <w:pPr>
        <w:spacing w:before="80" w:after="80"/>
        <w:shd w:fill="E8E8E8" w:val="clear"/>
      </w:pPr>
      <w:r>
        <w:rPr>
          <w:i/>
          <w:color w:val="444444"/>
          <w:sz w:val="18"/>
        </w:rPr>
        <w:t>Speaker Notes: Sort by injured worker</w:t>
        <w:br/>
        <w:t>With the LossType set to Workers' Comp, you may sort in ascending or descending order by the Injured Worker's last name.</w:t>
        <w:br/>
        <w:br/>
        <w:t>Users without this setting will see the column with the header Claimant. For other lines of business (Personal Auto,  Homeowners, and so on), there may be multiple claimants, and therefore sorting on this columnbecomes meaningless.</w:t>
      </w:r>
    </w:p>
    <w:p>
      <w:pPr>
        <w:pStyle w:val="Heading3"/>
      </w:pPr>
      <w:r>
        <w:rPr>
          <w:sz w:val="24"/>
        </w:rPr>
        <w:t>Slide 26/39: (Untitled)</w:t>
      </w:r>
    </w:p>
    <w:p>
      <w:r>
        <w:rPr>
          <w:i/>
          <w:color w:val="888888"/>
        </w:rPr>
        <w:t>[Image placeholder]</w:t>
      </w:r>
    </w:p>
    <w:p>
      <w:pPr>
        <w:spacing w:before="80" w:after="80"/>
        <w:shd w:fill="E8E8E8" w:val="clear"/>
      </w:pPr>
      <w:r>
        <w:rPr>
          <w:i/>
          <w:color w:val="444444"/>
          <w:sz w:val="18"/>
        </w:rPr>
        <w:t>Speaker Notes: Default policy type</w:t>
        <w:br/>
        <w:t>This setting is for convenience and ease of use only. It does not effectively prevent a user from creating a claim or finding policies on a different LOB.</w:t>
      </w:r>
    </w:p>
    <w:p>
      <w:pPr>
        <w:pStyle w:val="Heading3"/>
      </w:pPr>
      <w:r>
        <w:rPr>
          <w:sz w:val="24"/>
        </w:rPr>
        <w:t>Slide 27/39: (Untitled)</w:t>
      </w:r>
    </w:p>
    <w:p>
      <w:r>
        <w:rPr>
          <w:i/>
          <w:color w:val="888888"/>
        </w:rPr>
        <w:t>[Image placeholder]</w:t>
      </w:r>
    </w:p>
    <w:p>
      <w:pPr>
        <w:pStyle w:val="Heading3"/>
      </w:pPr>
      <w:r>
        <w:rPr>
          <w:sz w:val="24"/>
        </w:rPr>
        <w:t>Slide 28/39: (Untitled)</w:t>
      </w:r>
    </w:p>
    <w:p>
      <w:pPr>
        <w:pStyle w:val="Heading3"/>
      </w:pPr>
      <w:r>
        <w:rPr>
          <w:sz w:val="24"/>
        </w:rPr>
        <w:t>Slide 29/39: (Untitled)</w:t>
      </w:r>
    </w:p>
    <w:p>
      <w:r>
        <w:rPr>
          <w:i/>
          <w:color w:val="888888"/>
        </w:rPr>
        <w:t>[Image placeholder]</w:t>
      </w:r>
    </w:p>
    <w:p>
      <w:pPr>
        <w:pStyle w:val="Heading3"/>
      </w:pPr>
      <w:r>
        <w:rPr>
          <w:sz w:val="24"/>
        </w:rPr>
        <w:t>Slide 30/39: (Untitled)</w:t>
      </w:r>
    </w:p>
    <w:p>
      <w:r>
        <w:rPr>
          <w:i/>
          <w:color w:val="888888"/>
        </w:rPr>
        <w:t>[Image placeholder]</w:t>
      </w:r>
    </w:p>
    <w:p>
      <w:pPr>
        <w:pStyle w:val="Heading3"/>
      </w:pPr>
      <w:r>
        <w:rPr>
          <w:sz w:val="24"/>
        </w:rPr>
        <w:t>Slide 31/39: (Untitled)</w:t>
      </w:r>
    </w:p>
    <w:p>
      <w:r>
        <w:rPr>
          <w:i/>
          <w:color w:val="888888"/>
        </w:rPr>
        <w:t>[Image placeholder]</w:t>
      </w:r>
    </w:p>
    <w:p>
      <w:pPr>
        <w:pStyle w:val="Heading3"/>
      </w:pPr>
      <w:r>
        <w:rPr>
          <w:sz w:val="24"/>
        </w:rPr>
        <w:t>Slide 32/39: (Untitled)</w:t>
      </w:r>
    </w:p>
    <w:p>
      <w:r>
        <w:rPr>
          <w:i/>
          <w:color w:val="888888"/>
        </w:rPr>
        <w:t>[Image placeholder]</w:t>
      </w:r>
    </w:p>
    <w:p>
      <w:pPr>
        <w:pStyle w:val="Heading3"/>
      </w:pPr>
      <w:r>
        <w:rPr>
          <w:sz w:val="24"/>
        </w:rPr>
        <w:t>Slide 33/39: (Untitled)</w:t>
      </w:r>
    </w:p>
    <w:p>
      <w:r>
        <w:rPr>
          <w:i/>
          <w:color w:val="888888"/>
        </w:rPr>
        <w:t>[Image placeholder]</w:t>
      </w:r>
    </w:p>
    <w:p>
      <w:pPr>
        <w:pStyle w:val="Heading3"/>
      </w:pPr>
      <w:r>
        <w:rPr>
          <w:sz w:val="24"/>
        </w:rPr>
        <w:t>Slide 34/39: (Untitled)</w:t>
      </w:r>
    </w:p>
    <w:p>
      <w:r>
        <w:rPr>
          <w:i/>
          <w:color w:val="888888"/>
        </w:rPr>
        <w:t>[Image placeholder]</w:t>
      </w:r>
    </w:p>
    <w:p>
      <w:pPr>
        <w:pStyle w:val="Heading3"/>
      </w:pPr>
      <w:r>
        <w:rPr>
          <w:sz w:val="24"/>
        </w:rPr>
        <w:t>Slide 35/39: (Untitled)</w:t>
      </w:r>
    </w:p>
    <w:p>
      <w:r>
        <w:rPr>
          <w:i/>
          <w:color w:val="888888"/>
        </w:rPr>
        <w:t>[Image placeholder]</w:t>
      </w:r>
    </w:p>
    <w:p>
      <w:pPr>
        <w:pStyle w:val="Heading3"/>
      </w:pPr>
      <w:r>
        <w:rPr>
          <w:sz w:val="24"/>
        </w:rPr>
        <w:t>Slide 36/39: (Untitled)</w:t>
      </w:r>
    </w:p>
    <w:p>
      <w:r>
        <w:rPr>
          <w:i/>
          <w:color w:val="888888"/>
        </w:rPr>
        <w:t>[Image placeholder]</w:t>
      </w:r>
    </w:p>
    <w:p>
      <w:pPr>
        <w:pStyle w:val="Heading3"/>
      </w:pPr>
      <w:r>
        <w:rPr>
          <w:sz w:val="24"/>
        </w:rPr>
        <w:t>Slide 37/39: (Untitled)</w:t>
      </w:r>
    </w:p>
    <w:p>
      <w:r>
        <w:rPr>
          <w:i/>
          <w:color w:val="888888"/>
        </w:rPr>
        <w:t>[Image placeholder]</w:t>
      </w:r>
    </w:p>
    <w:p>
      <w:pPr>
        <w:pStyle w:val="Heading3"/>
      </w:pPr>
      <w:r>
        <w:rPr>
          <w:sz w:val="24"/>
        </w:rPr>
        <w:t>Slide 38/39: (Untitled)</w:t>
      </w:r>
    </w:p>
    <w:p>
      <w:r>
        <w:rPr>
          <w:i/>
          <w:color w:val="888888"/>
        </w:rPr>
        <w:t>[Image placeholder]</w:t>
      </w:r>
    </w:p>
    <w:p>
      <w:pPr>
        <w:pStyle w:val="Heading3"/>
      </w:pPr>
      <w:r>
        <w:rPr>
          <w:sz w:val="24"/>
        </w:rPr>
        <w:t>Slide 39/39: (Untitled)</w:t>
      </w:r>
    </w:p>
    <w:p>
      <w:r>
        <w:rPr>
          <w:i/>
          <w:color w:val="888888"/>
        </w:rPr>
        <w:t>[Image placeholder]</w:t>
      </w:r>
    </w:p>
    <w:p>
      <w:pPr>
        <w:pStyle w:val="Heading2"/>
      </w:pPr>
      <w:r>
        <w:t>Assignment</w:t>
      </w:r>
    </w:p>
    <w:p>
      <w:r>
        <w:rPr>
          <w:b/>
          <w:color w:val="008800"/>
        </w:rPr>
        <w:t>[Assignment 16]: Permissions and Access Control Lists</w:t>
      </w:r>
    </w:p>
    <w:p>
      <w:r>
        <w:rPr>
          <w:i/>
          <w:sz w:val="18"/>
        </w:rPr>
        <w:t>File: 16 - Permissions and Access Control Lists.pdf</w:t>
      </w:r>
    </w:p>
    <w:p/>
    <w:p>
      <w:pPr>
        <w:spacing w:before="240"/>
        <w:jc w:val="center"/>
      </w:pPr>
      <w:r>
        <w:rPr>
          <w:i/>
          <w:color w:val="999999"/>
          <w:sz w:val="16"/>
        </w:rPr>
        <w:t>--- End of Lesson 16: Introduction to Administering workers' compensation | 39 slides | 2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