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05: Claim Center Introduction</w:t>
      </w:r>
    </w:p>
    <w:p>
      <w:pPr>
        <w:pStyle w:val="Heading2"/>
      </w:pPr>
      <w:r>
        <w:rPr>
          <w:color w:val="333333"/>
          <w:sz w:val="28"/>
        </w:rPr>
        <w:t>Lesson 18: Managing Vendors</w:t>
      </w:r>
    </w:p>
    <w:p>
      <w:pPr>
        <w:spacing w:after="40"/>
      </w:pPr>
      <w:r>
        <w:rPr>
          <w:i/>
          <w:color w:val="999999"/>
          <w:sz w:val="16"/>
        </w:rPr>
        <w:t>Source: IS_Claim_18_Managing Vendors.pptx</w:t>
      </w:r>
    </w:p>
    <w:p>
      <w:pPr>
        <w:pStyle w:val="Heading3"/>
      </w:pPr>
      <w:r>
        <w:t>Video References</w:t>
      </w:r>
    </w:p>
    <w:p>
      <w:pPr>
        <w:pStyle w:val="ListNumber"/>
      </w:pPr>
      <w:r>
        <w:rPr>
          <w:color w:val="0066CC"/>
          <w:sz w:val="20"/>
        </w:rPr>
        <w:t>[Video 1: IS_Claim_18_01.mp4]</w:t>
      </w:r>
    </w:p>
    <w:p>
      <w:pPr>
        <w:pStyle w:val="ListNumber"/>
      </w:pPr>
      <w:r>
        <w:rPr>
          <w:color w:val="0066CC"/>
          <w:sz w:val="20"/>
        </w:rPr>
        <w:t>[Video 2: IS_Claim_18_02.mp4]</w:t>
      </w:r>
    </w:p>
    <w:p/>
    <w:p>
      <w:pPr>
        <w:pStyle w:val="Heading2"/>
      </w:pPr>
      <w:r>
        <w:t>Slide Content</w:t>
      </w:r>
    </w:p>
    <w:p>
      <w:pPr>
        <w:pStyle w:val="Heading3"/>
      </w:pPr>
      <w:r>
        <w:rPr>
          <w:sz w:val="24"/>
        </w:rPr>
        <w:t>Slide 1/33: (Untitled)</w:t>
      </w:r>
    </w:p>
    <w:p>
      <w:r>
        <w:rPr>
          <w:i/>
          <w:color w:val="888888"/>
        </w:rPr>
        <w:t>[Image placeholder]</w:t>
      </w:r>
    </w:p>
    <w:p>
      <w:pPr>
        <w:pStyle w:val="Heading3"/>
      </w:pPr>
      <w:r>
        <w:rPr>
          <w:sz w:val="24"/>
        </w:rPr>
        <w:t>Slide 2/33: (Untitled)</w:t>
      </w:r>
    </w:p>
    <w:p>
      <w:r>
        <w:rPr>
          <w:i/>
          <w:color w:val="888888"/>
        </w:rPr>
        <w:t>[Image placeholder]</w:t>
      </w:r>
    </w:p>
    <w:p>
      <w:pPr>
        <w:pStyle w:val="Heading3"/>
      </w:pPr>
      <w:r>
        <w:rPr>
          <w:sz w:val="24"/>
        </w:rPr>
        <w:t>Slide 3/33: (Untitled)</w:t>
      </w:r>
    </w:p>
    <w:p>
      <w:r>
        <w:rPr>
          <w:i/>
          <w:color w:val="888888"/>
        </w:rPr>
        <w:t>[Image placeholder]</w:t>
      </w:r>
    </w:p>
    <w:p>
      <w:pPr>
        <w:pStyle w:val="Heading3"/>
      </w:pPr>
      <w:r>
        <w:rPr>
          <w:sz w:val="24"/>
        </w:rPr>
        <w:t>Slide 4/33: (Untitled)</w:t>
      </w:r>
    </w:p>
    <w:p>
      <w:r>
        <w:rPr>
          <w:i/>
          <w:color w:val="888888"/>
        </w:rPr>
        <w:t>[Image placeholder]</w:t>
      </w:r>
    </w:p>
    <w:p>
      <w:pPr>
        <w:spacing w:before="80" w:after="80"/>
        <w:shd w:fill="E8E8E8" w:val="clear"/>
      </w:pPr>
      <w:r>
        <w:rPr>
          <w:i/>
          <w:color w:val="444444"/>
          <w:sz w:val="18"/>
        </w:rPr>
        <w:t>Speaker Notes: Review: Shared contacts</w:t>
        <w:br/>
        <w:t>Remember that a ClaimCenter contact may exist in ClaimCenter and ContactManager, or Address Book. A contact exists in ContactManager when the contact is used or is expected to be used for multiple claims. This is typically true for person vendors such as doctors,  company vendors such as hospitals, or venues such as courts. Because there is a need for contact information to be shared across multiple claims,  the contact is stored in ContactManager. When the contact is used on a claim, ClaimCenter keeps a local copy of any of those shared contacts.  In this example Dr. Sawyer is a doctor that is a shared contact,  which means he have may roles on multiple claims. He exists in both ClaimCenter and ContactManager. Because he is maintained in ContactManager and has a role on this claim, the two records are linked. Tanya Fan has a role on a claim but is not a shared contact. She is known to only ClaimCenter and therefore is not linked to ContactManager</w:t>
      </w:r>
    </w:p>
    <w:p>
      <w:pPr>
        <w:pStyle w:val="Heading3"/>
      </w:pPr>
      <w:r>
        <w:rPr>
          <w:sz w:val="24"/>
        </w:rPr>
        <w:t>Slide 5/33: (Untitled)</w:t>
      </w:r>
    </w:p>
    <w:p>
      <w:r>
        <w:rPr>
          <w:i/>
          <w:color w:val="888888"/>
        </w:rPr>
        <w:t>[Image placeholder]</w:t>
      </w:r>
    </w:p>
    <w:p>
      <w:pPr>
        <w:spacing w:before="80" w:after="80"/>
        <w:shd w:fill="E8E8E8" w:val="clear"/>
      </w:pPr>
      <w:r>
        <w:rPr>
          <w:i/>
          <w:color w:val="444444"/>
          <w:sz w:val="18"/>
        </w:rPr>
        <w:t>Speaker Notes: Review: Claim contacts</w:t>
        <w:br/>
        <w:t>Remember that for a given claim, on the Parties Involved screen, you can see all the contacts with roles on a claim. In the example above, Bill Kinman is a claim contact. He also has the roles Claimant, Driver, and Insured. Because Bill is used only on this claim, he is a local contact which is not linked to ContactManager. Remember that vendors that may be used on multiple claims are maintained in ContactManager and shared with ClaimCenter-</w:t>
      </w:r>
    </w:p>
    <w:p>
      <w:pPr>
        <w:pStyle w:val="Heading3"/>
      </w:pPr>
      <w:r>
        <w:rPr>
          <w:sz w:val="24"/>
        </w:rPr>
        <w:t>Slide 6/33: (Untitled)</w:t>
      </w:r>
    </w:p>
    <w:p>
      <w:r>
        <w:rPr>
          <w:i/>
          <w:color w:val="888888"/>
        </w:rPr>
        <w:t>[Image placeholder]</w:t>
      </w:r>
    </w:p>
    <w:p>
      <w:pPr>
        <w:spacing w:before="80" w:after="80"/>
        <w:shd w:fill="E8E8E8" w:val="clear"/>
      </w:pPr>
      <w:r>
        <w:rPr>
          <w:i/>
          <w:color w:val="444444"/>
          <w:sz w:val="18"/>
        </w:rPr>
        <w:t>Speaker Notes: Review: Vendor contacts</w:t>
        <w:br/>
        <w:t>Remember that Vendor contacts may be shared across multiple claims. For example, M B Garage is a repair shop that repairs for multiple claims. Their information is maintained in ContactManager and is available to be used on multiple claims. If a vendor is used for a role on a claim, the contact will exist in ContactManager and ClaimCenter, but the system of record is ContactManager.</w:t>
        <w:br/>
        <w:br/>
        <w:t>The contact details shows the status of the link between ClaimCenter and ContactManager. It will show that the contact is linked and that it is in sync with ContactManager. If any of the vendor data is changed in either system, the link message will show that the contact is not in sync.</w:t>
      </w:r>
    </w:p>
    <w:p>
      <w:pPr>
        <w:pStyle w:val="Heading3"/>
      </w:pPr>
      <w:r>
        <w:rPr>
          <w:sz w:val="24"/>
        </w:rPr>
        <w:t>Slide 7/33: (Untitled)</w:t>
      </w:r>
    </w:p>
    <w:p>
      <w:r>
        <w:rPr>
          <w:i/>
          <w:color w:val="888888"/>
        </w:rPr>
        <w:t>[Image placeholder]</w:t>
      </w:r>
    </w:p>
    <w:p>
      <w:pPr>
        <w:spacing w:before="80" w:after="80"/>
        <w:shd w:fill="E8E8E8" w:val="clear"/>
      </w:pPr>
      <w:r>
        <w:rPr>
          <w:i/>
          <w:color w:val="444444"/>
          <w:sz w:val="18"/>
        </w:rPr>
        <w:t>Speaker Notes: Creating vendor contacts in Claim Center</w:t>
        <w:br/>
        <w:t>The system of record for vendor contacts is ContactManager. When a vendor is used on a claim in ClaimCenter, it is linked to the vendor record in ContactManager. Because the records are linked, additions or changes to vendor contacts usually require approval from a ContactManager user or process. When a user creates a vendor in ClaimCenter, it is immediately and automatically linked to ContactManager. The status in ClaimCenter will show linked and in sync but ContactManager will show the status of requiring approval.</w:t>
      </w:r>
    </w:p>
    <w:p>
      <w:pPr>
        <w:pStyle w:val="Heading3"/>
      </w:pPr>
      <w:r>
        <w:rPr>
          <w:sz w:val="24"/>
        </w:rPr>
        <w:t>Slide 8/33: (Untitled)</w:t>
      </w:r>
    </w:p>
    <w:p>
      <w:r>
        <w:rPr>
          <w:i/>
          <w:color w:val="888888"/>
        </w:rPr>
        <w:t>[Image placeholder]</w:t>
      </w:r>
    </w:p>
    <w:p>
      <w:pPr>
        <w:spacing w:before="80" w:after="80"/>
        <w:shd w:fill="E8E8E8" w:val="clear"/>
      </w:pPr>
      <w:r>
        <w:rPr>
          <w:i/>
          <w:color w:val="444444"/>
          <w:sz w:val="18"/>
        </w:rPr>
        <w:t>Speaker Notes: Creating a vendor (I of 2)</w:t>
        <w:br/>
        <w:t>Within ClaimCenter, contacts only exist when associated with a claim. Consequently, you can only create a contact from a claim, and not independently of a</w:t>
        <w:br/>
        <w:t>claim in ClaimCenter- Although ContactManager is thesystem of record for vendors, you can create vendors in ClaimCenter- Any vendor created in ClaimCenter is automatically copied to and linked from ContactManager. Because ContactManager is the system of record for vendors, a user in ContactManager will need to approve the vendor. A ContactManager will the approve or reject the new vendor. Until the vendor is approved, it can be used on multiple claims but the user must search for vendors that are pending to find the vendor. If the user selects a pending vendor, the message will show that the vendor is in sync but the remote contact is pending approval.</w:t>
      </w:r>
    </w:p>
    <w:p>
      <w:pPr>
        <w:pStyle w:val="Heading3"/>
      </w:pPr>
      <w:r>
        <w:rPr>
          <w:sz w:val="24"/>
        </w:rPr>
        <w:t>Slide 9/33: (Untitled)</w:t>
      </w:r>
    </w:p>
    <w:p>
      <w:r>
        <w:rPr>
          <w:i/>
          <w:color w:val="888888"/>
        </w:rPr>
        <w:t>[Image placeholder]</w:t>
      </w:r>
    </w:p>
    <w:p>
      <w:pPr>
        <w:spacing w:before="80" w:after="80"/>
        <w:shd w:fill="E8E8E8" w:val="clear"/>
      </w:pPr>
      <w:r>
        <w:rPr>
          <w:i/>
          <w:color w:val="444444"/>
          <w:sz w:val="18"/>
        </w:rPr>
        <w:t>Speaker Notes: Creating a vendor (2 of 2)</w:t>
        <w:br/>
        <w:t>When the vendor is approved, the ClaimCenter vendor contact will show that it is in sync. The vendor will now show in any Address Book search without including those pending approval. When the approved vendor is included on a claim, the sync message will simply indicate that the vendor is synced with ContactManager.</w:t>
      </w:r>
    </w:p>
    <w:p>
      <w:pPr>
        <w:pStyle w:val="Heading3"/>
      </w:pPr>
      <w:r>
        <w:rPr>
          <w:sz w:val="24"/>
        </w:rPr>
        <w:t>Slide 10/33: (Untitled)</w:t>
      </w:r>
    </w:p>
    <w:p>
      <w:r>
        <w:rPr>
          <w:i/>
          <w:color w:val="888888"/>
        </w:rPr>
        <w:t>[Image placeholder]</w:t>
      </w:r>
    </w:p>
    <w:p>
      <w:pPr>
        <w:spacing w:before="80" w:after="80"/>
        <w:shd w:fill="E8E8E8" w:val="clear"/>
      </w:pPr>
      <w:r>
        <w:rPr>
          <w:i/>
          <w:color w:val="444444"/>
          <w:sz w:val="18"/>
        </w:rPr>
        <w:t>Speaker Notes: Modifying a vendor</w:t>
        <w:br/>
        <w:t>You can also modify vendors in ClaimCenter- The same process for creating a vendor applies to modifying a vendor. When a user changes a vendor, the changes are pushed to ContactManager for approval. Any claims that use this vendor will see a message that there are pending updates, but they are not forced to use the updates.</w:t>
        <w:br/>
        <w:br/>
        <w:t>When the changes are approved, the ClaimCenter contact shows that it is now in sync.</w:t>
      </w:r>
    </w:p>
    <w:p>
      <w:pPr>
        <w:pStyle w:val="Heading3"/>
      </w:pPr>
      <w:r>
        <w:rPr>
          <w:sz w:val="24"/>
        </w:rPr>
        <w:t>Slide 11/33: (Untitled)</w:t>
      </w:r>
    </w:p>
    <w:p>
      <w:r>
        <w:rPr>
          <w:i/>
          <w:color w:val="888888"/>
        </w:rPr>
        <w:t>[Image placeholder]</w:t>
      </w:r>
    </w:p>
    <w:p>
      <w:pPr>
        <w:spacing w:before="80" w:after="80"/>
        <w:shd w:fill="E8E8E8" w:val="clear"/>
      </w:pPr>
      <w:r>
        <w:rPr>
          <w:i/>
          <w:color w:val="444444"/>
          <w:sz w:val="18"/>
        </w:rPr>
        <w:t>Speaker Notes: Managing vendors in ContactManager</w:t>
        <w:br/>
        <w:t>Changes or additions to vendors are approved in ContactManager as the system of record forvendors. A manager or supervisor sees that there are pending changes that need their attention.  They either accept or reject the changes. ContactManager notifies ClaimCenter of the status of the vendor change.</w:t>
      </w:r>
    </w:p>
    <w:p>
      <w:pPr>
        <w:pStyle w:val="Heading3"/>
      </w:pPr>
      <w:r>
        <w:rPr>
          <w:sz w:val="24"/>
        </w:rPr>
        <w:t>Slide 12/33: (Untitled)</w:t>
      </w:r>
    </w:p>
    <w:p>
      <w:r>
        <w:rPr>
          <w:i/>
          <w:color w:val="888888"/>
        </w:rPr>
        <w:t>[Image placeholder]</w:t>
      </w:r>
    </w:p>
    <w:p>
      <w:pPr>
        <w:pStyle w:val="Heading3"/>
      </w:pPr>
      <w:r>
        <w:rPr>
          <w:sz w:val="24"/>
        </w:rPr>
        <w:t>Slide 13/33: (Untitled)</w:t>
      </w:r>
    </w:p>
    <w:p>
      <w:pPr>
        <w:pStyle w:val="Heading3"/>
      </w:pPr>
      <w:r>
        <w:rPr>
          <w:sz w:val="24"/>
        </w:rPr>
        <w:t>Slide 14/33: (Untitled)</w:t>
      </w:r>
    </w:p>
    <w:p>
      <w:r>
        <w:rPr>
          <w:i/>
          <w:color w:val="888888"/>
        </w:rPr>
        <w:t>[Image placeholder]</w:t>
      </w:r>
    </w:p>
    <w:p>
      <w:pPr>
        <w:spacing w:before="80" w:after="80"/>
        <w:shd w:fill="E8E8E8" w:val="clear"/>
      </w:pPr>
      <w:r>
        <w:rPr>
          <w:i/>
          <w:color w:val="444444"/>
          <w:sz w:val="18"/>
        </w:rPr>
        <w:t>Speaker Notes: Vendor documents</w:t>
        <w:br/>
        <w:t>Documents may be attached to vendor contacts in ContactManager. These documents can be any number of documents that the vendor uses in the normal course of working with the insurer or the insured.  For example, they can be service level agreements, order forms,  quote templates and so on. Any time the vendor has a role on a claim, the documents attached to that vendor in ContactManager are available to the claim. You can see the documents attached to a vendor contact when you view the contact's detailed information, either in ContactManager or in ClaimCenter.</w:t>
        <w:br/>
        <w:br/>
        <w:t>Any of the attached documents can be downloaded and used on the claim.</w:t>
      </w:r>
    </w:p>
    <w:p>
      <w:pPr>
        <w:pStyle w:val="Heading3"/>
      </w:pPr>
      <w:r>
        <w:rPr>
          <w:sz w:val="24"/>
        </w:rPr>
        <w:t>Slide 15/33: (Untitled)</w:t>
      </w:r>
    </w:p>
    <w:p>
      <w:r>
        <w:rPr>
          <w:i/>
          <w:color w:val="888888"/>
        </w:rPr>
        <w:t>[Image placeholder]</w:t>
      </w:r>
    </w:p>
    <w:p>
      <w:pPr>
        <w:spacing w:before="80" w:after="80"/>
        <w:shd w:fill="E8E8E8" w:val="clear"/>
      </w:pPr>
      <w:r>
        <w:rPr>
          <w:i/>
          <w:color w:val="444444"/>
          <w:sz w:val="18"/>
        </w:rPr>
        <w:t>Speaker Notes: Uploading documents</w:t>
        <w:br/>
        <w:t>In ContactManager, the Documents tab on the selected vendor includes a New Document button which allows the user to select and add a new document.  Once the document is added and the vendor is updated, the new documents are immediately available in ClaimCenter.</w:t>
      </w:r>
    </w:p>
    <w:p>
      <w:pPr>
        <w:pStyle w:val="Heading3"/>
      </w:pPr>
      <w:r>
        <w:rPr>
          <w:sz w:val="24"/>
        </w:rPr>
        <w:t>Slide 16/33: (Untitled)</w:t>
      </w:r>
    </w:p>
    <w:p>
      <w:r>
        <w:rPr>
          <w:i/>
          <w:color w:val="888888"/>
        </w:rPr>
        <w:t>[Image placeholder]</w:t>
      </w:r>
    </w:p>
    <w:p>
      <w:pPr>
        <w:spacing w:before="80" w:after="80"/>
        <w:shd w:fill="E8E8E8" w:val="clear"/>
      </w:pPr>
      <w:r>
        <w:rPr>
          <w:i/>
          <w:color w:val="444444"/>
          <w:sz w:val="18"/>
        </w:rPr>
        <w:t>Speaker Notes: Vendor services</w:t>
        <w:br/>
        <w:t>In general, a vendor provides some specific set of services. A restoration company would provide water removal, make safe services, debris removal,  and so on. An auto repair shop may provide body repair, glass repair and towing.</w:t>
        <w:br/>
        <w:t>ContactManager provides a list of services that can be assigned to a vendor. Once those services are assigned, the vendor will be included in any search from ClaimCenter that includes that service. For example, when a ClaimCenter user searches for vendors that provide debris removal, all the vendors thathave that service assigned and meet any other criterion provided, will be included in the results.</w:t>
      </w:r>
    </w:p>
    <w:p>
      <w:pPr>
        <w:pStyle w:val="Heading3"/>
      </w:pPr>
      <w:r>
        <w:rPr>
          <w:sz w:val="24"/>
        </w:rPr>
        <w:t>Slide 17/33: (Untitled)</w:t>
      </w:r>
    </w:p>
    <w:p>
      <w:r>
        <w:rPr>
          <w:i/>
          <w:color w:val="888888"/>
        </w:rPr>
        <w:t>[Image placeholder]</w:t>
      </w:r>
    </w:p>
    <w:p>
      <w:pPr>
        <w:pStyle w:val="Heading3"/>
      </w:pPr>
      <w:r>
        <w:rPr>
          <w:sz w:val="24"/>
        </w:rPr>
        <w:t>Slide 18/33: (Untitled)</w:t>
      </w:r>
    </w:p>
    <w:p>
      <w:pPr>
        <w:pStyle w:val="Heading3"/>
      </w:pPr>
      <w:r>
        <w:rPr>
          <w:sz w:val="24"/>
        </w:rPr>
        <w:t>Slide 19/33: (Untitled)</w:t>
      </w:r>
    </w:p>
    <w:p>
      <w:r>
        <w:rPr>
          <w:i/>
          <w:color w:val="888888"/>
        </w:rPr>
        <w:t>[Image placeholder]</w:t>
      </w:r>
    </w:p>
    <w:p>
      <w:pPr>
        <w:pStyle w:val="Heading3"/>
      </w:pPr>
      <w:r>
        <w:rPr>
          <w:sz w:val="24"/>
        </w:rPr>
        <w:t>Slide 20/33: (Untitled)</w:t>
      </w:r>
    </w:p>
    <w:p>
      <w:r>
        <w:rPr>
          <w:i/>
          <w:color w:val="888888"/>
        </w:rPr>
        <w:t>[Image placeholder]</w:t>
      </w:r>
    </w:p>
    <w:p>
      <w:pPr>
        <w:pStyle w:val="Heading3"/>
      </w:pPr>
      <w:r>
        <w:rPr>
          <w:sz w:val="24"/>
        </w:rPr>
        <w:t>Slide 21/33: (Untitled)</w:t>
      </w:r>
    </w:p>
    <w:p>
      <w:r>
        <w:rPr>
          <w:i/>
          <w:color w:val="888888"/>
        </w:rPr>
        <w:t>[Image placeholder]</w:t>
      </w:r>
    </w:p>
    <w:p>
      <w:pPr>
        <w:pStyle w:val="Heading3"/>
      </w:pPr>
      <w:r>
        <w:rPr>
          <w:sz w:val="24"/>
        </w:rPr>
        <w:t>Slide 22/33: (Untitled)</w:t>
      </w:r>
    </w:p>
    <w:p>
      <w:r>
        <w:rPr>
          <w:i/>
          <w:color w:val="888888"/>
        </w:rPr>
        <w:t>[Image placeholder]</w:t>
      </w:r>
    </w:p>
    <w:p>
      <w:pPr>
        <w:pStyle w:val="Heading3"/>
      </w:pPr>
      <w:r>
        <w:rPr>
          <w:sz w:val="24"/>
        </w:rPr>
        <w:t>Slide 23/33: (Untitled)</w:t>
      </w:r>
    </w:p>
    <w:p>
      <w:r>
        <w:rPr>
          <w:i/>
          <w:color w:val="888888"/>
        </w:rPr>
        <w:t>[Image placeholder]</w:t>
      </w:r>
    </w:p>
    <w:p>
      <w:pPr>
        <w:pStyle w:val="Heading3"/>
      </w:pPr>
      <w:r>
        <w:rPr>
          <w:sz w:val="24"/>
        </w:rPr>
        <w:t>Slide 24/33: (Untitled)</w:t>
      </w:r>
    </w:p>
    <w:p>
      <w:r>
        <w:rPr>
          <w:i/>
          <w:color w:val="888888"/>
        </w:rPr>
        <w:t>[Image placeholder]</w:t>
      </w:r>
    </w:p>
    <w:p>
      <w:pPr>
        <w:pStyle w:val="Heading3"/>
      </w:pPr>
      <w:r>
        <w:rPr>
          <w:sz w:val="24"/>
        </w:rPr>
        <w:t>Slide 25/33: (Untitled)</w:t>
      </w:r>
    </w:p>
    <w:p>
      <w:r>
        <w:rPr>
          <w:i/>
          <w:color w:val="888888"/>
        </w:rPr>
        <w:t>[Image placeholder]</w:t>
      </w:r>
    </w:p>
    <w:p>
      <w:pPr>
        <w:pStyle w:val="Heading3"/>
      </w:pPr>
      <w:r>
        <w:rPr>
          <w:sz w:val="24"/>
        </w:rPr>
        <w:t>Slide 26/33: (Untitled)</w:t>
      </w:r>
    </w:p>
    <w:p>
      <w:r>
        <w:rPr>
          <w:i/>
          <w:color w:val="888888"/>
        </w:rPr>
        <w:t>[Image placeholder]</w:t>
      </w:r>
    </w:p>
    <w:p>
      <w:pPr>
        <w:pStyle w:val="Heading3"/>
      </w:pPr>
      <w:r>
        <w:rPr>
          <w:sz w:val="24"/>
        </w:rPr>
        <w:t>Slide 27/33: (Untitled)</w:t>
      </w:r>
    </w:p>
    <w:p>
      <w:r>
        <w:rPr>
          <w:i/>
          <w:color w:val="888888"/>
        </w:rPr>
        <w:t>[Image placeholder]</w:t>
      </w:r>
    </w:p>
    <w:p>
      <w:pPr>
        <w:pStyle w:val="Heading3"/>
      </w:pPr>
      <w:r>
        <w:rPr>
          <w:sz w:val="24"/>
        </w:rPr>
        <w:t>Slide 28/33: (Untitled)</w:t>
      </w:r>
    </w:p>
    <w:p>
      <w:r>
        <w:rPr>
          <w:i/>
          <w:color w:val="888888"/>
        </w:rPr>
        <w:t>[Image placeholder]</w:t>
      </w:r>
    </w:p>
    <w:p>
      <w:pPr>
        <w:pStyle w:val="Heading3"/>
      </w:pPr>
      <w:r>
        <w:rPr>
          <w:sz w:val="24"/>
        </w:rPr>
        <w:t>Slide 29/33: (Untitled)</w:t>
      </w:r>
    </w:p>
    <w:p>
      <w:r>
        <w:rPr>
          <w:i/>
          <w:color w:val="888888"/>
        </w:rPr>
        <w:t>[Image placeholder]</w:t>
      </w:r>
    </w:p>
    <w:p>
      <w:pPr>
        <w:pStyle w:val="Heading3"/>
      </w:pPr>
      <w:r>
        <w:rPr>
          <w:sz w:val="24"/>
        </w:rPr>
        <w:t>Slide 30/33: (Untitled)</w:t>
      </w:r>
    </w:p>
    <w:p>
      <w:r>
        <w:rPr>
          <w:i/>
          <w:color w:val="888888"/>
        </w:rPr>
        <w:t>[Image placeholder]</w:t>
      </w:r>
    </w:p>
    <w:p>
      <w:pPr>
        <w:pStyle w:val="Heading3"/>
      </w:pPr>
      <w:r>
        <w:rPr>
          <w:sz w:val="24"/>
        </w:rPr>
        <w:t>Slide 31/33: (Untitled)</w:t>
      </w:r>
    </w:p>
    <w:p>
      <w:r>
        <w:rPr>
          <w:i/>
          <w:color w:val="888888"/>
        </w:rPr>
        <w:t>[Image placeholder]</w:t>
      </w:r>
    </w:p>
    <w:p>
      <w:pPr>
        <w:pStyle w:val="Heading3"/>
      </w:pPr>
      <w:r>
        <w:rPr>
          <w:sz w:val="24"/>
        </w:rPr>
        <w:t>Slide 32/33: (Untitled)</w:t>
      </w:r>
    </w:p>
    <w:p>
      <w:r>
        <w:rPr>
          <w:i/>
          <w:color w:val="888888"/>
        </w:rPr>
        <w:t>[Image placeholder]</w:t>
      </w:r>
    </w:p>
    <w:p>
      <w:pPr>
        <w:pStyle w:val="Heading3"/>
      </w:pPr>
      <w:r>
        <w:rPr>
          <w:sz w:val="24"/>
        </w:rPr>
        <w:t>Slide 33/33: (Untitled)</w:t>
      </w:r>
    </w:p>
    <w:p>
      <w:r>
        <w:rPr>
          <w:i/>
          <w:color w:val="888888"/>
        </w:rPr>
        <w:t>[Image placeholder]</w:t>
      </w:r>
    </w:p>
    <w:p>
      <w:pPr>
        <w:pStyle w:val="Heading2"/>
      </w:pPr>
      <w:r>
        <w:t>Assignment</w:t>
      </w:r>
    </w:p>
    <w:p>
      <w:r>
        <w:rPr>
          <w:b/>
          <w:color w:val="008800"/>
        </w:rPr>
        <w:t>[Assignment 18]: Specialized Claim Processes - Workers' Compensation</w:t>
      </w:r>
    </w:p>
    <w:p>
      <w:r>
        <w:rPr>
          <w:i/>
          <w:sz w:val="18"/>
        </w:rPr>
        <w:t>File: 18 - Specialized Claim Processes - Workers' Compensation.pdf</w:t>
      </w:r>
    </w:p>
    <w:p/>
    <w:p>
      <w:pPr>
        <w:spacing w:before="240"/>
        <w:jc w:val="center"/>
      </w:pPr>
      <w:r>
        <w:rPr>
          <w:i/>
          <w:color w:val="999999"/>
          <w:sz w:val="16"/>
        </w:rPr>
        <w:t>--- End of Lesson 18: Managing Vendors | 33 slides | 2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