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19: Managing Service Requests</w:t>
      </w:r>
    </w:p>
    <w:p>
      <w:pPr>
        <w:spacing w:after="40"/>
      </w:pPr>
      <w:r>
        <w:rPr>
          <w:i/>
          <w:color w:val="999999"/>
          <w:sz w:val="16"/>
        </w:rPr>
        <w:t>Source: IS_Claim_19_Managing Service Requests.pptx</w:t>
      </w:r>
    </w:p>
    <w:p>
      <w:pPr>
        <w:pStyle w:val="Heading3"/>
      </w:pPr>
      <w:r>
        <w:t>Video References</w:t>
      </w:r>
    </w:p>
    <w:p>
      <w:pPr>
        <w:pStyle w:val="ListNumber"/>
      </w:pPr>
      <w:r>
        <w:rPr>
          <w:color w:val="0066CC"/>
          <w:sz w:val="20"/>
        </w:rPr>
        <w:t>[Video 1: IS_Claim_19_01.mp4]</w:t>
      </w:r>
    </w:p>
    <w:p>
      <w:pPr>
        <w:pStyle w:val="ListNumber"/>
      </w:pPr>
      <w:r>
        <w:rPr>
          <w:color w:val="0066CC"/>
          <w:sz w:val="20"/>
        </w:rPr>
        <w:t>[Video 2: IS_Claim_19_02.mp4]</w:t>
      </w:r>
    </w:p>
    <w:p/>
    <w:p>
      <w:pPr>
        <w:pStyle w:val="Heading2"/>
      </w:pPr>
      <w:r>
        <w:t>Slide Content</w:t>
      </w:r>
    </w:p>
    <w:p>
      <w:pPr>
        <w:pStyle w:val="Heading3"/>
      </w:pPr>
      <w:r>
        <w:rPr>
          <w:sz w:val="24"/>
        </w:rPr>
        <w:t>Slide 1/25: (Untitled)</w:t>
      </w:r>
    </w:p>
    <w:p>
      <w:r>
        <w:rPr>
          <w:i/>
          <w:color w:val="888888"/>
        </w:rPr>
        <w:t>[Image placeholder]</w:t>
      </w:r>
    </w:p>
    <w:p>
      <w:pPr>
        <w:pStyle w:val="Heading3"/>
      </w:pPr>
      <w:r>
        <w:rPr>
          <w:sz w:val="24"/>
        </w:rPr>
        <w:t>Slide 2/25: (Untitled)</w:t>
      </w:r>
    </w:p>
    <w:p>
      <w:r>
        <w:rPr>
          <w:i/>
          <w:color w:val="888888"/>
        </w:rPr>
        <w:t>[Image placeholder]</w:t>
      </w:r>
    </w:p>
    <w:p>
      <w:pPr>
        <w:pStyle w:val="Heading3"/>
      </w:pPr>
      <w:r>
        <w:rPr>
          <w:sz w:val="24"/>
        </w:rPr>
        <w:t>Slide 3/25: (Untitled)</w:t>
      </w:r>
    </w:p>
    <w:p>
      <w:r>
        <w:rPr>
          <w:i/>
          <w:color w:val="888888"/>
        </w:rPr>
        <w:t>[Image placeholder]</w:t>
      </w:r>
    </w:p>
    <w:p>
      <w:pPr>
        <w:pStyle w:val="Heading3"/>
      </w:pPr>
      <w:r>
        <w:rPr>
          <w:sz w:val="24"/>
        </w:rPr>
        <w:t>Slide 4/25: (Untitled)</w:t>
      </w:r>
    </w:p>
    <w:p>
      <w:r>
        <w:rPr>
          <w:i/>
          <w:color w:val="888888"/>
        </w:rPr>
        <w:t>[Image placeholder]</w:t>
      </w:r>
    </w:p>
    <w:p>
      <w:pPr>
        <w:spacing w:before="80" w:after="80"/>
        <w:shd w:fill="E8E8E8" w:val="clear"/>
      </w:pPr>
      <w:r>
        <w:rPr>
          <w:i/>
          <w:color w:val="444444"/>
          <w:sz w:val="18"/>
        </w:rPr>
        <w:t>Speaker Notes: Vendor services</w:t>
        <w:br/>
        <w:t>Vendor services help identify the right vendors for a given incident or claim. The adjuster can search for and assign work, or services, to a specific vendor Once a service is assigned to a vendor,  the adjuster can manage and follow services on a claim from the inception of the service request to completion of the work and payment for the service. A claims adjuster may request a quote, services only, or both.</w:t>
        <w:br/>
        <w:br/>
        <w:t>A history of all service requests, whether they are in progress, or completed, is available from the Services screen on a claim.</w:t>
        <w:br/>
        <w:br/>
        <w:t>The Vendor tag on the vendor in ContactManager determines whether the contact is an identifiable ClaimCenter vendor. An important distinction is that the Vendor tag, not the contact type, distinguishes vendors from other contacts in ContactManager. This is because a service vendor may be either a company or a person.</w:t>
      </w:r>
    </w:p>
    <w:p>
      <w:pPr>
        <w:pStyle w:val="Heading3"/>
      </w:pPr>
      <w:r>
        <w:rPr>
          <w:sz w:val="24"/>
        </w:rPr>
        <w:t>Slide 5/25: (Untitled)</w:t>
      </w:r>
    </w:p>
    <w:p>
      <w:r>
        <w:rPr>
          <w:i/>
          <w:color w:val="888888"/>
        </w:rPr>
        <w:t>[Image placeholder]</w:t>
      </w:r>
    </w:p>
    <w:p>
      <w:pPr>
        <w:spacing w:before="80" w:after="80"/>
        <w:shd w:fill="E8E8E8" w:val="clear"/>
      </w:pPr>
      <w:r>
        <w:rPr>
          <w:i/>
          <w:color w:val="444444"/>
          <w:sz w:val="18"/>
        </w:rPr>
        <w:t>Speaker Notes: Service request scenario</w:t>
        <w:br/>
        <w:t>Assigning a vendor to a claim can occur at the initial intake of the claim or later. When a user adds a service to a claim, they can select one of 3 different request types. It can be to perform the service if the type of service would not require a quote. It can be for a quote only, or it can be to provide a quote and perform the service. The quote and perform service request is for a full- service lifecycle, including a record of the quote documents and estimates and service work.</w:t>
      </w:r>
    </w:p>
    <w:p>
      <w:pPr>
        <w:pStyle w:val="Heading3"/>
      </w:pPr>
      <w:r>
        <w:rPr>
          <w:sz w:val="24"/>
        </w:rPr>
        <w:t>Slide 6/25: (Untitled)</w:t>
      </w:r>
    </w:p>
    <w:p>
      <w:r>
        <w:rPr>
          <w:i/>
          <w:color w:val="888888"/>
        </w:rPr>
        <w:t>[Image placeholder]</w:t>
      </w:r>
    </w:p>
    <w:p>
      <w:pPr>
        <w:spacing w:before="80" w:after="80"/>
        <w:shd w:fill="E8E8E8" w:val="clear"/>
      </w:pPr>
      <w:r>
        <w:rPr>
          <w:i/>
          <w:color w:val="444444"/>
          <w:sz w:val="18"/>
        </w:rPr>
        <w:t>Speaker Notes: Possible vendor responses</w:t>
        <w:br/>
        <w:t>When a request is sent to a vendor, there are several possible responses. The vendor may agree to provide a quote and may provide that quote either through a vendor portal, or directly to the adjuster. They may also decline a request, for whatever reason, or they may accept the request with a specific time frame extension.</w:t>
      </w:r>
    </w:p>
    <w:p>
      <w:pPr>
        <w:pStyle w:val="Heading3"/>
      </w:pPr>
      <w:r>
        <w:rPr>
          <w:sz w:val="24"/>
        </w:rPr>
        <w:t>Slide 7/25: (Untitled)</w:t>
      </w:r>
    </w:p>
    <w:p>
      <w:r>
        <w:rPr>
          <w:i/>
          <w:color w:val="888888"/>
        </w:rPr>
        <w:t>[Image placeholder]</w:t>
      </w:r>
    </w:p>
    <w:p>
      <w:pPr>
        <w:spacing w:before="80" w:after="80"/>
        <w:shd w:fill="E8E8E8" w:val="clear"/>
      </w:pPr>
      <w:r>
        <w:rPr>
          <w:i/>
          <w:color w:val="444444"/>
          <w:sz w:val="18"/>
        </w:rPr>
        <w:t>Speaker Notes: Adding a service to a claim: New Claim Wizard</w:t>
        <w:br/>
        <w:t>In the New Claim Wizard, there are two ways to add services. The first is on the incident details screen. In this example, the incident is a vehicle. The user can add details and select services for the incident. Any details required for adding the service must be entered while adding the service. For example,  if an autobody repair service is added, the user must find and select a repair shop for the service as well as provide the service address.</w:t>
        <w:br/>
        <w:br/>
        <w:t>The New Claim Wizard also has a step that is dedicated to Vendor Services. This screen behaves just like the incident details Screen</w:t>
      </w:r>
    </w:p>
    <w:p>
      <w:pPr>
        <w:pStyle w:val="Heading3"/>
      </w:pPr>
      <w:r>
        <w:rPr>
          <w:sz w:val="24"/>
        </w:rPr>
        <w:t>Slide 8/25: (Untitled)</w:t>
      </w:r>
    </w:p>
    <w:p>
      <w:r>
        <w:rPr>
          <w:i/>
          <w:color w:val="888888"/>
        </w:rPr>
        <w:t>[Image placeholder]</w:t>
      </w:r>
    </w:p>
    <w:p>
      <w:pPr>
        <w:spacing w:before="80" w:after="80"/>
        <w:shd w:fill="E8E8E8" w:val="clear"/>
      </w:pPr>
      <w:r>
        <w:rPr>
          <w:i/>
          <w:color w:val="444444"/>
          <w:sz w:val="18"/>
        </w:rPr>
        <w:t>Speaker Notes: Adding a service to a claim: Claim page</w:t>
        <w:br/>
        <w:t>You can add services to a claim anytime in the lifecycle of a claim. From the Actions menu, select New Service. The Add Service screen allows you to select either the claim or incident the service is related to. Just like in the New Claim Wizard, the user selects the type of request, quote, perform, or quote and perform, the vendor and the service address.</w:t>
      </w:r>
    </w:p>
    <w:p>
      <w:pPr>
        <w:pStyle w:val="Heading3"/>
      </w:pPr>
      <w:r>
        <w:rPr>
          <w:sz w:val="24"/>
        </w:rPr>
        <w:t>Slide 9/25: (Untitled)</w:t>
      </w:r>
    </w:p>
    <w:p>
      <w:r>
        <w:rPr>
          <w:i/>
          <w:color w:val="888888"/>
        </w:rPr>
        <w:t>[Image placeholder]</w:t>
      </w:r>
    </w:p>
    <w:p>
      <w:pPr>
        <w:spacing w:before="80" w:after="80"/>
        <w:shd w:fill="E8E8E8" w:val="clear"/>
      </w:pPr>
      <w:r>
        <w:rPr>
          <w:i/>
          <w:color w:val="444444"/>
          <w:sz w:val="18"/>
        </w:rPr>
        <w:t>Speaker Notes: Service metrics</w:t>
        <w:br/>
        <w:t>Assigned services provide a way to track vendor performance over time. When the vendor is assigned to perform a service, ClaimCenter collects metrics for evaluating the vendor performance for the request. The metrics include quote timeliness,  response time, service timeliness, and invoice vs quote variance.</w:t>
        <w:br/>
        <w:br/>
        <w:t>Quote only service requests, do not measure service timelines or invoice variances.</w:t>
      </w:r>
    </w:p>
    <w:p>
      <w:pPr>
        <w:pStyle w:val="Heading3"/>
      </w:pPr>
      <w:r>
        <w:rPr>
          <w:sz w:val="24"/>
        </w:rPr>
        <w:t>Slide 10/25: (Untitled)</w:t>
      </w:r>
    </w:p>
    <w:p>
      <w:r>
        <w:rPr>
          <w:i/>
          <w:color w:val="888888"/>
        </w:rPr>
        <w:t>[Image placeholder]</w:t>
      </w:r>
    </w:p>
    <w:p>
      <w:pPr>
        <w:spacing w:before="80" w:after="80"/>
        <w:shd w:fill="E8E8E8" w:val="clear"/>
      </w:pPr>
      <w:r>
        <w:rPr>
          <w:i/>
          <w:color w:val="444444"/>
          <w:sz w:val="18"/>
        </w:rPr>
        <w:t>Speaker Notes: Lifecycle of a service</w:t>
        <w:br/>
        <w:t>Service request lifecycles differ slightly depending on the type of request. For example a quote only service focuses on receiving the quote in a timely manner rather than managing and tracking the work. The lifecycle for a quote and perform service includes everything from the inception of the request to</w:t>
        <w:br/>
        <w:t xml:space="preserve">payment for the service. </w:t>
        <w:br/>
        <w:t>That full lifecycle starts with the creation of the service request followed by the vendor either accepting, declining, or delaying the quote. Once the vendor accepts the request, the next step is to receive and approve the quote.</w:t>
        <w:br/>
        <w:t>In a quote and perform service, the service can only be marked as complete after the quote has been received and approved.  Once the service is marked as complete and there is an invoice, ClaimCenter may automatically create a payment. This payment is dependent on an existing reserve and limits configured in Straight Through Invoice Processing, or STIP. The base application has a defined limit of $500.</w:t>
      </w:r>
    </w:p>
    <w:p>
      <w:pPr>
        <w:pStyle w:val="Heading3"/>
      </w:pPr>
      <w:r>
        <w:rPr>
          <w:sz w:val="24"/>
        </w:rPr>
        <w:t>Slide 11/25: (Untitled)</w:t>
      </w:r>
    </w:p>
    <w:p>
      <w:r>
        <w:rPr>
          <w:i/>
          <w:color w:val="888888"/>
        </w:rPr>
        <w:t>[Image placeholder]</w:t>
      </w:r>
    </w:p>
    <w:p>
      <w:pPr>
        <w:pStyle w:val="Heading3"/>
      </w:pPr>
      <w:r>
        <w:rPr>
          <w:sz w:val="24"/>
        </w:rPr>
        <w:t>Slide 12/25: (Untitled)</w:t>
      </w:r>
    </w:p>
    <w:p>
      <w:pPr>
        <w:pStyle w:val="Heading3"/>
      </w:pPr>
      <w:r>
        <w:rPr>
          <w:sz w:val="24"/>
        </w:rPr>
        <w:t>Slide 13/25: (Untitled)</w:t>
      </w:r>
    </w:p>
    <w:p>
      <w:r>
        <w:rPr>
          <w:i/>
          <w:color w:val="888888"/>
        </w:rPr>
        <w:t>[Image placeholder]</w:t>
      </w:r>
    </w:p>
    <w:p>
      <w:pPr>
        <w:spacing w:before="80" w:after="80"/>
        <w:shd w:fill="E8E8E8" w:val="clear"/>
      </w:pPr>
      <w:r>
        <w:rPr>
          <w:i/>
          <w:color w:val="444444"/>
          <w:sz w:val="18"/>
        </w:rPr>
        <w:t>Speaker Notes: Vendor progress: Vendor Claim Portal</w:t>
        <w:br/>
        <w:t>When a quote only vendor service request is sent to the vendor through a portal, the vendor sees the service request and has a choice of actions. They can choose Accept Work, Add Quote or Decline Work. In this example, the vendor accepts the work and gives a date by which they expect to send the quote.  Entering this date gives the claims adjuster an idea of when to expect a reply from the vendor, and also provides data that helps evaluate the vendor's timeliness and performance.</w:t>
        <w:br/>
        <w:br/>
        <w:t>Notice the information from ClaimCenter which includes the type of service requested, the ID which is the equivalent of the Claim number, and the Next Step being equivalent to the Next Action in ClaimCenter.</w:t>
        <w:br/>
        <w:br/>
        <w:t>Use of a vendor portal gives adjusters the ability to easily communicate with service providers directly and move through the service request lifecycle. Quotes, invoices and progress milestones such as Vendor Accepted Work, Vendor Completed Quote and so on, are recorded by interaction with a portal.</w:t>
      </w:r>
    </w:p>
    <w:p>
      <w:pPr>
        <w:pStyle w:val="Heading3"/>
      </w:pPr>
      <w:r>
        <w:rPr>
          <w:sz w:val="24"/>
        </w:rPr>
        <w:t>Slide 14/25: (Untitled)</w:t>
      </w:r>
    </w:p>
    <w:p>
      <w:r>
        <w:rPr>
          <w:i/>
          <w:color w:val="888888"/>
        </w:rPr>
        <w:t>[Image placeholder]</w:t>
      </w:r>
    </w:p>
    <w:p>
      <w:pPr>
        <w:spacing w:before="80" w:after="80"/>
        <w:shd w:fill="E8E8E8" w:val="clear"/>
      </w:pPr>
      <w:r>
        <w:rPr>
          <w:i/>
          <w:color w:val="444444"/>
          <w:sz w:val="18"/>
        </w:rPr>
        <w:t>Speaker Notes: Vendor progress: without Vendor Claim Portal</w:t>
        <w:br/>
        <w:t>When a vendor does not have access to the vendor portal, the CSR or adjuster manually records progress for the service.  The data collected and maintained is the same. The only difference is how the information is recorded. Without using the vendor portal, the vendor contacts the adjuster to update the status of the service. Those updates can include acceptance of the service request,  submission of a quote, or even completion of the service.</w:t>
      </w:r>
    </w:p>
    <w:p>
      <w:pPr>
        <w:pStyle w:val="Heading3"/>
      </w:pPr>
      <w:r>
        <w:rPr>
          <w:sz w:val="24"/>
        </w:rPr>
        <w:t>Slide 15/25: (Untitled)</w:t>
      </w:r>
    </w:p>
    <w:p>
      <w:r>
        <w:rPr>
          <w:i/>
          <w:color w:val="888888"/>
        </w:rPr>
        <w:t>[Image placeholder]</w:t>
      </w:r>
    </w:p>
    <w:p>
      <w:pPr>
        <w:pStyle w:val="Heading3"/>
      </w:pPr>
      <w:r>
        <w:rPr>
          <w:sz w:val="24"/>
        </w:rPr>
        <w:t>Slide 16/25: (Untitled)</w:t>
      </w:r>
    </w:p>
    <w:p>
      <w:pPr>
        <w:pStyle w:val="Heading3"/>
      </w:pPr>
      <w:r>
        <w:rPr>
          <w:sz w:val="24"/>
        </w:rPr>
        <w:t>Slide 17/25: (Untitled)</w:t>
      </w:r>
    </w:p>
    <w:p>
      <w:r>
        <w:rPr>
          <w:i/>
          <w:color w:val="888888"/>
        </w:rPr>
        <w:t>[Image placeholder]</w:t>
      </w:r>
    </w:p>
    <w:p>
      <w:pPr>
        <w:pStyle w:val="Heading3"/>
      </w:pPr>
      <w:r>
        <w:rPr>
          <w:sz w:val="24"/>
        </w:rPr>
        <w:t>Slide 18/25: (Untitled)</w:t>
      </w:r>
    </w:p>
    <w:p>
      <w:r>
        <w:rPr>
          <w:i/>
          <w:color w:val="888888"/>
        </w:rPr>
        <w:t>[Image placeholder]</w:t>
      </w:r>
    </w:p>
    <w:p>
      <w:pPr>
        <w:pStyle w:val="Heading3"/>
      </w:pPr>
      <w:r>
        <w:rPr>
          <w:sz w:val="24"/>
        </w:rPr>
        <w:t>Slide 19/25: (Untitled)</w:t>
      </w:r>
    </w:p>
    <w:p>
      <w:r>
        <w:rPr>
          <w:i/>
          <w:color w:val="888888"/>
        </w:rPr>
        <w:t>[Image placeholder]</w:t>
      </w:r>
    </w:p>
    <w:p>
      <w:pPr>
        <w:pStyle w:val="Heading3"/>
      </w:pPr>
      <w:r>
        <w:rPr>
          <w:sz w:val="24"/>
        </w:rPr>
        <w:t>Slide 20/25: (Untitled)</w:t>
      </w:r>
    </w:p>
    <w:p>
      <w:r>
        <w:rPr>
          <w:i/>
          <w:color w:val="888888"/>
        </w:rPr>
        <w:t>[Image placeholder]</w:t>
      </w:r>
    </w:p>
    <w:p>
      <w:pPr>
        <w:pStyle w:val="Heading3"/>
      </w:pPr>
      <w:r>
        <w:rPr>
          <w:sz w:val="24"/>
        </w:rPr>
        <w:t>Slide 21/25: (Untitled)</w:t>
      </w:r>
    </w:p>
    <w:p>
      <w:r>
        <w:rPr>
          <w:i/>
          <w:color w:val="888888"/>
        </w:rPr>
        <w:t>[Image placeholder]</w:t>
      </w:r>
    </w:p>
    <w:p>
      <w:pPr>
        <w:pStyle w:val="Heading3"/>
      </w:pPr>
      <w:r>
        <w:rPr>
          <w:sz w:val="24"/>
        </w:rPr>
        <w:t>Slide 22/25: (Untitled)</w:t>
      </w:r>
    </w:p>
    <w:p>
      <w:r>
        <w:rPr>
          <w:i/>
          <w:color w:val="888888"/>
        </w:rPr>
        <w:t>[Image placeholder]</w:t>
      </w:r>
    </w:p>
    <w:p>
      <w:pPr>
        <w:pStyle w:val="Heading3"/>
      </w:pPr>
      <w:r>
        <w:rPr>
          <w:sz w:val="24"/>
        </w:rPr>
        <w:t>Slide 23/25: (Untitled)</w:t>
      </w:r>
    </w:p>
    <w:p>
      <w:r>
        <w:rPr>
          <w:i/>
          <w:color w:val="888888"/>
        </w:rPr>
        <w:t>[Image placeholder]</w:t>
      </w:r>
    </w:p>
    <w:p>
      <w:pPr>
        <w:pStyle w:val="Heading3"/>
      </w:pPr>
      <w:r>
        <w:rPr>
          <w:sz w:val="24"/>
        </w:rPr>
        <w:t>Slide 24/25: (Untitled)</w:t>
      </w:r>
    </w:p>
    <w:p>
      <w:r>
        <w:rPr>
          <w:i/>
          <w:color w:val="888888"/>
        </w:rPr>
        <w:t>[Image placeholder]</w:t>
      </w:r>
    </w:p>
    <w:p>
      <w:pPr>
        <w:pStyle w:val="Heading3"/>
      </w:pPr>
      <w:r>
        <w:rPr>
          <w:sz w:val="24"/>
        </w:rPr>
        <w:t>Slide 25/25: (Untitled)</w:t>
      </w:r>
    </w:p>
    <w:p>
      <w:r>
        <w:rPr>
          <w:i/>
          <w:color w:val="888888"/>
        </w:rPr>
        <w:t>[Image placeholder]</w:t>
      </w:r>
    </w:p>
    <w:p>
      <w:pPr>
        <w:pStyle w:val="Heading2"/>
      </w:pPr>
      <w:r>
        <w:t>Assignment</w:t>
      </w:r>
    </w:p>
    <w:p>
      <w:r>
        <w:rPr>
          <w:b/>
          <w:color w:val="008800"/>
        </w:rPr>
        <w:t>[Assignment 19]: Administering Workers' Compensation</w:t>
      </w:r>
    </w:p>
    <w:p>
      <w:r>
        <w:rPr>
          <w:i/>
          <w:sz w:val="18"/>
        </w:rPr>
        <w:t>File: 19 - Administering Workers' Compensation.pdf</w:t>
      </w:r>
    </w:p>
    <w:p/>
    <w:p>
      <w:pPr>
        <w:spacing w:before="240"/>
        <w:jc w:val="center"/>
      </w:pPr>
      <w:r>
        <w:rPr>
          <w:i/>
          <w:color w:val="999999"/>
          <w:sz w:val="16"/>
        </w:rPr>
        <w:t>--- End of Lesson 19: Managing Service Requests | 25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