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5: Billing a Pro Rata Charge</w:t>
      </w:r>
    </w:p>
    <w:p>
      <w:pPr>
        <w:spacing w:after="40"/>
      </w:pPr>
      <w:r>
        <w:rPr>
          <w:i/>
          <w:color w:val="999999"/>
          <w:sz w:val="16"/>
        </w:rPr>
        <w:t>Source: Billing a Pro Rata Charge.pptx</w:t>
      </w:r>
    </w:p>
    <w:p>
      <w:pPr>
        <w:pStyle w:val="Heading3"/>
      </w:pPr>
      <w:r>
        <w:t>Video References</w:t>
      </w:r>
    </w:p>
    <w:p>
      <w:pPr>
        <w:pStyle w:val="ListNumber"/>
      </w:pPr>
      <w:r>
        <w:rPr>
          <w:color w:val="0066CC"/>
          <w:sz w:val="20"/>
        </w:rPr>
        <w:t>[Video 1: Billing_05_01.mp4]</w:t>
      </w:r>
    </w:p>
    <w:p/>
    <w:p>
      <w:pPr>
        <w:pStyle w:val="Heading2"/>
      </w:pPr>
      <w:r>
        <w:t>Slide Content</w:t>
      </w:r>
    </w:p>
    <w:p>
      <w:pPr>
        <w:pStyle w:val="Heading3"/>
      </w:pPr>
      <w:r>
        <w:rPr>
          <w:sz w:val="24"/>
        </w:rPr>
        <w:t>Slide 1/46: (Untitled)</w:t>
      </w:r>
    </w:p>
    <w:p>
      <w:r>
        <w:rPr>
          <w:i/>
          <w:color w:val="888888"/>
        </w:rPr>
        <w:t>[Image placeholder]</w:t>
      </w:r>
    </w:p>
    <w:p>
      <w:pPr>
        <w:pStyle w:val="Heading3"/>
      </w:pPr>
      <w:r>
        <w:rPr>
          <w:sz w:val="24"/>
        </w:rPr>
        <w:t>Slide 2/46: (Untitled)</w:t>
      </w:r>
    </w:p>
    <w:p>
      <w:r>
        <w:rPr>
          <w:i/>
          <w:color w:val="888888"/>
        </w:rPr>
        <w:t>[Image placeholder]</w:t>
      </w:r>
    </w:p>
    <w:p>
      <w:pPr>
        <w:pStyle w:val="Heading3"/>
      </w:pPr>
      <w:r>
        <w:rPr>
          <w:sz w:val="24"/>
        </w:rPr>
        <w:t>Slide 3/46: (Untitled)</w:t>
      </w:r>
    </w:p>
    <w:p>
      <w:r>
        <w:rPr>
          <w:i/>
          <w:color w:val="888888"/>
        </w:rPr>
        <w:t>[Image placeholder]</w:t>
      </w:r>
    </w:p>
    <w:p>
      <w:pPr>
        <w:pStyle w:val="Heading3"/>
      </w:pPr>
      <w:r>
        <w:rPr>
          <w:sz w:val="24"/>
        </w:rPr>
        <w:t>Slide 4/46: (Untitled)</w:t>
      </w:r>
    </w:p>
    <w:p>
      <w:r>
        <w:rPr>
          <w:i/>
          <w:color w:val="888888"/>
        </w:rPr>
        <w:t>[Image placeholder]</w:t>
      </w:r>
    </w:p>
    <w:p>
      <w:pPr>
        <w:spacing w:before="80" w:after="80"/>
        <w:shd w:fill="E8E8E8" w:val="clear"/>
      </w:pPr>
      <w:r>
        <w:rPr>
          <w:i/>
          <w:color w:val="444444"/>
          <w:sz w:val="18"/>
        </w:rPr>
        <w:t>Speaker Notes: Setting the context</w:t>
        <w:br/>
        <w:t>Marcus, a business analyst for Succeed Insurance, wants to know how BillingCenter handles premium charges. Zhang suggests starting by looking at charge patterns, which are templates for charges.</w:t>
      </w:r>
    </w:p>
    <w:p>
      <w:pPr>
        <w:pStyle w:val="Heading3"/>
      </w:pPr>
      <w:r>
        <w:rPr>
          <w:sz w:val="24"/>
        </w:rPr>
        <w:t>Slide 5/46: (Untitled)</w:t>
      </w:r>
    </w:p>
    <w:p>
      <w:r>
        <w:rPr>
          <w:i/>
          <w:color w:val="888888"/>
        </w:rPr>
        <w:t>[Image placeholder]</w:t>
      </w:r>
    </w:p>
    <w:p>
      <w:pPr>
        <w:spacing w:before="80" w:after="80"/>
        <w:shd w:fill="E8E8E8" w:val="clear"/>
      </w:pPr>
      <w:r>
        <w:rPr>
          <w:i/>
          <w:color w:val="444444"/>
          <w:sz w:val="18"/>
        </w:rPr>
        <w:t>Speaker Notes: Charge patterns</w:t>
        <w:br/>
        <w:t>Business analysts categorize charges using charge patterns. The role of a charge pattern is to identify the charge type and determine how BillingCenter handles the charge. Every charge has a charge type and an associated invoice treatment.  This information is specified in the charge pattern, which is a template for a charge.</w:t>
        <w:br/>
        <w:br/>
        <w:t>Type determines how earnings are recognized. For example, for a Pro-Rata charge, eamings are recognized proportionally over time. An Immediate charge (not shown in the slide) is recognized at once as revenue whereas a Pass-Through charge is not recognized as revenue. The other two charge types are Collateral and Recapture.</w:t>
        <w:br/>
        <w:br/>
        <w:t>Invoicing approach influences how BillingCenter invoices the charge. One-Time Chargespecifies that a charge cannot be sliced into multiple invoice items whereas Down Payment and Installments specifies that a charge can be sliced into multiple invoice items, typically a downpayment and one or more installments.</w:t>
      </w:r>
    </w:p>
    <w:p>
      <w:pPr>
        <w:pStyle w:val="Heading3"/>
      </w:pPr>
      <w:r>
        <w:rPr>
          <w:sz w:val="24"/>
        </w:rPr>
        <w:t>Slide 6/46: (Untitled)</w:t>
      </w:r>
    </w:p>
    <w:p>
      <w:r>
        <w:rPr>
          <w:i/>
          <w:color w:val="888888"/>
        </w:rPr>
        <w:t>[Image placeholder]</w:t>
      </w:r>
    </w:p>
    <w:p>
      <w:pPr>
        <w:spacing w:before="80" w:after="80"/>
        <w:shd w:fill="E8E8E8" w:val="clear"/>
      </w:pPr>
      <w:r>
        <w:rPr>
          <w:i/>
          <w:color w:val="444444"/>
          <w:sz w:val="18"/>
        </w:rPr>
        <w:t>Speaker Notes: Every charge is associated with one charge pattern</w:t>
        <w:br/>
        <w:t>Every charge is associated with a single charge pattern. When BillingCenter executes a billing request based on the information in the billing instruction, it slices each charge according to the invoicing approach specified in the associated charge pattern.  For example:</w:t>
        <w:br/>
        <w:br/>
        <w:t>The Taxes charge pattern has an invoicing approach of One- time Charge, which directs BillingCenter to slice the charge into a single invoice item.</w:t>
        <w:br/>
        <w:br/>
        <w:t>The Premium charge pattern has an invoicing approach of Down Payment and Installments, which directs BillingCenter to slice the charge into multiple invoice items, according to the policy's payment plan.</w:t>
      </w:r>
    </w:p>
    <w:p>
      <w:pPr>
        <w:pStyle w:val="Heading3"/>
      </w:pPr>
      <w:r>
        <w:rPr>
          <w:sz w:val="24"/>
        </w:rPr>
        <w:t>Slide 7/46: (Untitled)</w:t>
      </w:r>
    </w:p>
    <w:p>
      <w:r>
        <w:rPr>
          <w:i/>
          <w:color w:val="888888"/>
        </w:rPr>
        <w:t>[Image placeholder]</w:t>
      </w:r>
    </w:p>
    <w:p>
      <w:pPr>
        <w:spacing w:before="80" w:after="80"/>
        <w:shd w:fill="E8E8E8" w:val="clear"/>
      </w:pPr>
      <w:r>
        <w:rPr>
          <w:i/>
          <w:color w:val="444444"/>
          <w:sz w:val="18"/>
        </w:rPr>
        <w:t>Speaker Notes: Handling a typical Premium (pro rata) charge</w:t>
        <w:br/>
        <w:t>After BillingCenter slices a Premium charge into an optional down payment invoice item and a set of installment invoice items,  the invoice items are subsequently assigned to invoices.</w:t>
        <w:br/>
        <w:br/>
        <w:t>The down payment is calculated as a percentage of the Premium charge. Typically, the amount of a down payment is not the same as the amount of each installment. The placement date for a down payment can be out of sequence from the placement dates of the regular installments. For example, a down payment can have a placement date of March 10th, even though the installments have placement dates of the 20th of each month.</w:t>
        <w:br/>
        <w:br/>
        <w:t>Installments are always for the same amount and typically occur at regular, equal time periods. For example, if a payment plan has a monthly periodicity, the placement dates for each installment occur in monthly intervals.</w:t>
      </w:r>
    </w:p>
    <w:p>
      <w:pPr>
        <w:pStyle w:val="Heading3"/>
      </w:pPr>
      <w:r>
        <w:rPr>
          <w:sz w:val="24"/>
        </w:rPr>
        <w:t>Slide 8/46: (Untitled)</w:t>
      </w:r>
    </w:p>
    <w:p>
      <w:r>
        <w:rPr>
          <w:i/>
          <w:color w:val="888888"/>
        </w:rPr>
        <w:t>[Image placeholder]</w:t>
      </w:r>
    </w:p>
    <w:p>
      <w:pPr>
        <w:spacing w:before="80" w:after="80"/>
        <w:shd w:fill="E8E8E8" w:val="clear"/>
      </w:pPr>
      <w:r>
        <w:rPr>
          <w:i/>
          <w:color w:val="444444"/>
          <w:sz w:val="18"/>
        </w:rPr>
        <w:t>Speaker Notes: Billing a pro rata charge</w:t>
        <w:br/>
        <w:t>Suppose BillingCenter receives a premium charge from the PAS- According to the charge pattem, Premium is a pro rata charge with an invoicing approach of Down Payment and Installments.</w:t>
        <w:br/>
        <w:br/>
        <w:t>The payment plan associatedwith the policy period determines the details of how to invoice the down payment and installments.  The payment plan answers questions such as: What is the down payment percentage? How many installments? What is the frequency of the installments? And so on.</w:t>
        <w:br/>
        <w:br/>
        <w:t>Using settings on the payment plan, BillingCenter creates an invoice stream to contain the set of invoices for the policy.</w:t>
        <w:br/>
        <w:br/>
        <w:t>The slide shows a charge that is split into a down payment invoice item and three installment invoice items. In the example, each invoice item is placed on a separate invoice. However, it is possible for a down payment and first installment to be placed on the same invoice.</w:t>
      </w:r>
    </w:p>
    <w:p>
      <w:pPr>
        <w:pStyle w:val="Heading3"/>
      </w:pPr>
      <w:r>
        <w:rPr>
          <w:sz w:val="24"/>
        </w:rPr>
        <w:t>Slide 9/46: (Untitled)</w:t>
      </w:r>
    </w:p>
    <w:p>
      <w:r>
        <w:rPr>
          <w:i/>
          <w:color w:val="888888"/>
        </w:rPr>
        <w:t>[Image placeholder]</w:t>
      </w:r>
    </w:p>
    <w:p>
      <w:pPr>
        <w:pStyle w:val="Heading3"/>
      </w:pPr>
      <w:r>
        <w:rPr>
          <w:sz w:val="24"/>
        </w:rPr>
        <w:t>Slide 10/46: (Untitled)</w:t>
      </w:r>
    </w:p>
    <w:p>
      <w:pPr>
        <w:pStyle w:val="Heading3"/>
      </w:pPr>
      <w:r>
        <w:rPr>
          <w:sz w:val="24"/>
        </w:rPr>
        <w:t>Slide 11/46: (Untitled)</w:t>
      </w:r>
    </w:p>
    <w:p>
      <w:r>
        <w:rPr>
          <w:i/>
          <w:color w:val="888888"/>
        </w:rPr>
        <w:t>[Image placeholder]</w:t>
      </w:r>
    </w:p>
    <w:p>
      <w:pPr>
        <w:pStyle w:val="Heading3"/>
      </w:pPr>
      <w:r>
        <w:rPr>
          <w:sz w:val="24"/>
        </w:rPr>
        <w:t>Slide 12/46: (Untitled)</w:t>
      </w:r>
    </w:p>
    <w:p>
      <w:r>
        <w:rPr>
          <w:i/>
          <w:color w:val="888888"/>
        </w:rPr>
        <w:t>[Image placeholder]</w:t>
      </w:r>
    </w:p>
    <w:p>
      <w:pPr>
        <w:spacing w:before="80" w:after="80"/>
        <w:shd w:fill="E8E8E8" w:val="clear"/>
      </w:pPr>
      <w:r>
        <w:rPr>
          <w:i/>
          <w:color w:val="444444"/>
          <w:sz w:val="18"/>
        </w:rPr>
        <w:t>Speaker Notes: Setting the context</w:t>
        <w:br/>
        <w:t>Marcus wants to know how the payment plan influences how BillingCenter handles premium charges. Zhang volunteers to show him.</w:t>
      </w:r>
    </w:p>
    <w:p>
      <w:pPr>
        <w:pStyle w:val="Heading3"/>
      </w:pPr>
      <w:r>
        <w:rPr>
          <w:sz w:val="24"/>
        </w:rPr>
        <w:t>Slide 13/46: (Untitled)</w:t>
      </w:r>
    </w:p>
    <w:p>
      <w:r>
        <w:rPr>
          <w:i/>
          <w:color w:val="888888"/>
        </w:rPr>
        <w:t>[Image placeholder]</w:t>
      </w:r>
    </w:p>
    <w:p>
      <w:pPr>
        <w:spacing w:before="80" w:after="80"/>
        <w:shd w:fill="E8E8E8" w:val="clear"/>
      </w:pPr>
      <w:r>
        <w:rPr>
          <w:i/>
          <w:color w:val="444444"/>
          <w:sz w:val="18"/>
        </w:rPr>
        <w:t>Speaker Notes: Scheduling a pro rata charge</w:t>
        <w:br/>
        <w:t>The settings in the Pro Rata Charges section of the payment plan determine whether to create a down payment, the amount of the down payment, the maximum number of installments, and the scheduling of both the down payment and the first installment.</w:t>
        <w:br/>
        <w:br/>
        <w:t xml:space="preserve">Note the payment plan specifies the maximum number of installments. The exact number of installments is determined by a combination of factors such as term length and payment interval.  The payment plan can also specify a "blackout window", which restricts the period of time during which a policy can be invoiced. Blackout windows are discussed later in this lesson. </w:t>
        <w:br/>
        <w:br/>
        <w:t>In the slide, there will be a down payment and a maximum of 9 installments. The installment number does not include the down payment item. If the policy is for a 6-month term and is invoiced monthly, the payment plan would generate only 5 installments.</w:t>
      </w:r>
    </w:p>
    <w:p>
      <w:pPr>
        <w:pStyle w:val="Heading3"/>
      </w:pPr>
      <w:r>
        <w:rPr>
          <w:sz w:val="24"/>
        </w:rPr>
        <w:t>Slide 14/46: (Untitled)</w:t>
      </w:r>
    </w:p>
    <w:p>
      <w:r>
        <w:rPr>
          <w:i/>
          <w:color w:val="888888"/>
        </w:rPr>
        <w:t>[Image placeholder]</w:t>
      </w:r>
    </w:p>
    <w:p>
      <w:pPr>
        <w:spacing w:before="80" w:after="80"/>
        <w:shd w:fill="E8E8E8" w:val="clear"/>
      </w:pPr>
      <w:r>
        <w:rPr>
          <w:i/>
          <w:color w:val="444444"/>
          <w:sz w:val="18"/>
        </w:rPr>
        <w:t>Speaker Notes: Placement dates for down payment, installments</w:t>
        <w:br/>
        <w:t>In the slide, the payment plan specifies the placement date for the down payment as being invoiced "25 days Before the Policy Effective Date". This means the down payment invoice item will have a placement date that is 25 days earlier than the policy effective date.</w:t>
        <w:br/>
        <w:br/>
        <w:t>The placement date of the first installment is specified as being invoiced "0 days After One Interval After Policy Effective Date". The payment plan has a payment interval of Monthly. So the first installment will have a placement date that is one month after the policy effective date.</w:t>
        <w:br/>
        <w:br/>
        <w:t>The remaining installments will be scheduled monthly following the date of the first installment.</w:t>
        <w:br/>
        <w:br/>
        <w:t>Note: Phrases such as Policy Effective Date and One Interval After Policy Effective Date are referred to as reference dates.  The number of days before or after a reference date is referred to as an offset.</w:t>
      </w:r>
    </w:p>
    <w:p>
      <w:pPr>
        <w:pStyle w:val="Heading3"/>
      </w:pPr>
      <w:r>
        <w:rPr>
          <w:sz w:val="24"/>
        </w:rPr>
        <w:t>Slide 15/46: (Untitled)</w:t>
      </w:r>
    </w:p>
    <w:p>
      <w:r>
        <w:rPr>
          <w:i/>
          <w:color w:val="888888"/>
        </w:rPr>
        <w:t>[Image placeholder]</w:t>
      </w:r>
    </w:p>
    <w:p>
      <w:pPr>
        <w:spacing w:before="80" w:after="80"/>
        <w:shd w:fill="E8E8E8" w:val="clear"/>
      </w:pPr>
      <w:r>
        <w:rPr>
          <w:i/>
          <w:color w:val="444444"/>
          <w:sz w:val="18"/>
        </w:rPr>
        <w:t>Speaker Notes: Determining the invoice dates</w:t>
        <w:br/>
        <w:t>Given the payment plan from the previous slide and a policy period effective date of 2/25/2018:</w:t>
        <w:br/>
        <w:br/>
        <w:t>The resulting invoice stream has an Overriding Invoice Day of 25 based on the offset and reference date of the first installment. This means that all of the invoices in the invoice stream will be dated on the 25th of the month.</w:t>
        <w:br/>
        <w:br/>
        <w:t xml:space="preserve">The down payment invoice item has a placement date of •25 days Before Policy Effective Date", which is 01/31/2018. The first potential invoice that is on or after 01/31/2018 is 02/25/2018. This is the invoice that receives the down payment invoice item. </w:t>
        <w:br/>
        <w:br/>
        <w:t>The first installment has a placement date of "0 days After One Interval After Policy Effective Date", which is 03/25/2018. The first potential invoice that is on or after 03/25/2018 is, of course, 03/25/2018. This is the invoice that receives the first installment invoice item.</w:t>
        <w:br/>
        <w:br/>
        <w:t>The remaining installment items will be billed monthly starting with the invoice on 04/25/2018.</w:t>
      </w:r>
    </w:p>
    <w:p>
      <w:pPr>
        <w:pStyle w:val="Heading3"/>
      </w:pPr>
      <w:r>
        <w:rPr>
          <w:sz w:val="24"/>
        </w:rPr>
        <w:t>Slide 16/46: (Untitled)</w:t>
      </w:r>
    </w:p>
    <w:p>
      <w:r>
        <w:rPr>
          <w:i/>
          <w:color w:val="888888"/>
        </w:rPr>
        <w:t>[Image placeholder]</w:t>
      </w:r>
    </w:p>
    <w:p>
      <w:pPr>
        <w:spacing w:before="80" w:after="80"/>
        <w:shd w:fill="E8E8E8" w:val="clear"/>
      </w:pPr>
      <w:r>
        <w:rPr>
          <w:i/>
          <w:color w:val="444444"/>
          <w:sz w:val="18"/>
        </w:rPr>
        <w:t>Speaker Notes: Invoice stream periodicities</w:t>
        <w:br/>
        <w:t>The screenshot shows the list of payment intervals that are available without configuration in BillingCenter. Each payment interval can be implemented by one of the four invoice stream periodicities shown on the slide.</w:t>
        <w:br/>
        <w:t>Accounts using account-level billing have up to four invoice streams — a monthly stream, a weekly stream, a twice-a-month stream,  and an every-other-week stream. This provides appropriate streams for all of the account's charges, regardless of the payment intervals of their payment plans.</w:t>
        <w:br/>
        <w:t>Accounts using policy- level billing have a separate invoice stream for each policy.</w:t>
        <w:br/>
        <w:br/>
        <w:t>BillingCenter creates invoice streams lazily—that is, each stream is created only when there is a charge to be invoiced in that stream- Every invoice must be within a stream—an invoice cannot be associated directly with an account.</w:t>
        <w:br/>
        <w:br/>
        <w:t xml:space="preserve">Each invoice stream has a base interval (weekly, every other week, monthly, and twice monthly)- Any interval that is a multiple of monthly uses the monthly stream- The monthly stream is also used for all account-level charges.  </w:t>
        <w:br/>
        <w:br/>
        <w:t xml:space="preserve">Every Other Week and Twice per Month require different invoice streams because there is a requirement to synchronize the dates with an insurer's payroll. Twice Per Month requires two dates  (such as 15 and 31) for establishing invoice dates whereas Every Other Week has simply a day of week such as Friday. </w:t>
        <w:br/>
        <w:br/>
        <w:t xml:space="preserve">You can create custom invoice streams in the IJI or through configuration- Through configuration, you can create custom periodicities and invoice streams that support your custom periodicities.  </w:t>
        <w:br/>
        <w:br/>
        <w:t>Note: 31 is used to indicate the last day of the month.  This date is automatically adjusted for the number of days in the month- For February, 31 can mean 28 Feb or 29 Feb depending on the year.</w:t>
      </w:r>
    </w:p>
    <w:p>
      <w:pPr>
        <w:pStyle w:val="Heading3"/>
      </w:pPr>
      <w:r>
        <w:rPr>
          <w:sz w:val="24"/>
        </w:rPr>
        <w:t>Slide 17/46: (Untitled)</w:t>
      </w:r>
    </w:p>
    <w:p>
      <w:r>
        <w:rPr>
          <w:i/>
          <w:color w:val="888888"/>
        </w:rPr>
        <w:t>[Image placeholder]</w:t>
      </w:r>
    </w:p>
    <w:p>
      <w:pPr>
        <w:pStyle w:val="Heading3"/>
      </w:pPr>
      <w:r>
        <w:rPr>
          <w:sz w:val="24"/>
        </w:rPr>
        <w:t>Slide 18/46: (Untitled)</w:t>
      </w:r>
    </w:p>
    <w:p>
      <w:r>
        <w:rPr>
          <w:i/>
          <w:color w:val="888888"/>
        </w:rPr>
        <w:t>[Image placeholder]</w:t>
      </w:r>
    </w:p>
    <w:p>
      <w:pPr>
        <w:pStyle w:val="Heading3"/>
      </w:pPr>
      <w:r>
        <w:rPr>
          <w:sz w:val="24"/>
        </w:rPr>
        <w:t>Slide 19/46: (Untitled)</w:t>
      </w:r>
    </w:p>
    <w:p>
      <w:r>
        <w:rPr>
          <w:i/>
          <w:color w:val="888888"/>
        </w:rPr>
        <w:t>[Image placeholder]</w:t>
      </w:r>
    </w:p>
    <w:p>
      <w:pPr>
        <w:pStyle w:val="Heading3"/>
      </w:pPr>
      <w:r>
        <w:rPr>
          <w:sz w:val="24"/>
        </w:rPr>
        <w:t>Slide 20/46: (Untitled)</w:t>
      </w:r>
    </w:p>
    <w:p>
      <w:r>
        <w:rPr>
          <w:i/>
          <w:color w:val="888888"/>
        </w:rPr>
        <w:t>[Image placeholder]</w:t>
      </w:r>
    </w:p>
    <w:p>
      <w:pPr>
        <w:pStyle w:val="Heading3"/>
      </w:pPr>
      <w:r>
        <w:rPr>
          <w:sz w:val="24"/>
        </w:rPr>
        <w:t>Slide 21/46: (Untitled)</w:t>
      </w:r>
    </w:p>
    <w:p>
      <w:r>
        <w:rPr>
          <w:i/>
          <w:color w:val="888888"/>
        </w:rPr>
        <w:t>[Image placeholder]</w:t>
      </w:r>
    </w:p>
    <w:p>
      <w:pPr>
        <w:pStyle w:val="Heading3"/>
      </w:pPr>
      <w:r>
        <w:rPr>
          <w:sz w:val="24"/>
        </w:rPr>
        <w:t>Slide 22/46: (Untitled)</w:t>
      </w:r>
    </w:p>
    <w:p>
      <w:r>
        <w:rPr>
          <w:i/>
          <w:color w:val="888888"/>
        </w:rPr>
        <w:t>[Image placeholder]</w:t>
      </w:r>
    </w:p>
    <w:p>
      <w:pPr>
        <w:pStyle w:val="Heading3"/>
      </w:pPr>
      <w:r>
        <w:rPr>
          <w:sz w:val="24"/>
        </w:rPr>
        <w:t>Slide 23/46: (Untitled)</w:t>
      </w:r>
    </w:p>
    <w:p>
      <w:r>
        <w:rPr>
          <w:i/>
          <w:color w:val="888888"/>
        </w:rPr>
        <w:t>[Image placeholder]</w:t>
      </w:r>
    </w:p>
    <w:p>
      <w:pPr>
        <w:pStyle w:val="Heading3"/>
      </w:pPr>
      <w:r>
        <w:rPr>
          <w:sz w:val="24"/>
        </w:rPr>
        <w:t>Slide 24/46: (Untitled)</w:t>
      </w:r>
    </w:p>
    <w:p>
      <w:r>
        <w:rPr>
          <w:i/>
          <w:color w:val="888888"/>
        </w:rPr>
        <w:t>[Image placeholder]</w:t>
      </w:r>
    </w:p>
    <w:p>
      <w:pPr>
        <w:spacing w:before="80" w:after="80"/>
        <w:shd w:fill="E8E8E8" w:val="clear"/>
      </w:pPr>
      <w:r>
        <w:rPr>
          <w:i/>
          <w:color w:val="444444"/>
          <w:sz w:val="18"/>
        </w:rPr>
        <w:t>Speaker Notes: Setting the context</w:t>
        <w:br/>
        <w:t>Marcus wants to know how to handle an invoicing requirement from Succeed Insurance. Zhang knows the solution is to define a blackout window on the payment plan.</w:t>
      </w:r>
    </w:p>
    <w:p>
      <w:pPr>
        <w:pStyle w:val="Heading3"/>
      </w:pPr>
      <w:r>
        <w:rPr>
          <w:sz w:val="24"/>
        </w:rPr>
        <w:t>Slide 25/46: (Untitled)</w:t>
      </w:r>
    </w:p>
    <w:p>
      <w:r>
        <w:rPr>
          <w:i/>
          <w:color w:val="888888"/>
        </w:rPr>
        <w:t>[Image placeholder]</w:t>
      </w:r>
    </w:p>
    <w:p>
      <w:pPr>
        <w:spacing w:before="80" w:after="80"/>
        <w:shd w:fill="E8E8E8" w:val="clear"/>
      </w:pPr>
      <w:r>
        <w:rPr>
          <w:i/>
          <w:color w:val="444444"/>
          <w:sz w:val="18"/>
        </w:rPr>
        <w:t>Speaker Notes: Scheduling the final invoice</w:t>
        <w:br/>
        <w:t>A blackout window is an optional period at the end of a policy term when no invoices can either be billed or become due. If necessary, BillingCenter reduces the number of invoices to accommodate the blackout window. The two payment plan fields that are highlighted in the slide along with the policy expiration date determine the blackout window.</w:t>
        <w:br/>
        <w:br/>
        <w:t>In the example, the Final Installment on the payment plan specifies that the policy period cannot be billed during the last 40 days of its term. The blackout window calculation counts backwards from the day before the policy expiration date.</w:t>
        <w:br/>
        <w:br/>
        <w:t>The size of the blackout window can be negative. A negative blackout window allows a policy to be billed or become due after the policy expiration date.</w:t>
      </w:r>
    </w:p>
    <w:p>
      <w:pPr>
        <w:pStyle w:val="Heading3"/>
      </w:pPr>
      <w:r>
        <w:rPr>
          <w:sz w:val="24"/>
        </w:rPr>
        <w:t>Slide 26/46: (Untitled)</w:t>
      </w:r>
    </w:p>
    <w:p>
      <w:r>
        <w:rPr>
          <w:i/>
          <w:color w:val="888888"/>
        </w:rPr>
        <w:t>[Image placeholder]</w:t>
      </w:r>
    </w:p>
    <w:p>
      <w:pPr>
        <w:spacing w:before="80" w:after="80"/>
        <w:shd w:fill="E8E8E8" w:val="clear"/>
      </w:pPr>
      <w:r>
        <w:rPr>
          <w:i/>
          <w:color w:val="444444"/>
          <w:sz w:val="18"/>
        </w:rPr>
        <w:t>Speaker Notes: Charge invoicing steps for a pro rata charge</w:t>
        <w:br/>
        <w:t>The slide summarizes the steps BillingCenter follows when slicing a pro rata charge into invoice items and placing the invoice items on invoices.</w:t>
        <w:br/>
        <w:br/>
        <w:t>Notice that "scheduling" an invoice item means assigning a placement date to the item. Subsequently, the placement date determines which invoice receives the invoice item.</w:t>
      </w:r>
    </w:p>
    <w:p>
      <w:pPr>
        <w:pStyle w:val="Heading3"/>
      </w:pPr>
      <w:r>
        <w:rPr>
          <w:sz w:val="24"/>
        </w:rPr>
        <w:t>Slide 27/46: (Untitled)</w:t>
      </w:r>
    </w:p>
    <w:p>
      <w:r>
        <w:rPr>
          <w:i/>
          <w:color w:val="888888"/>
        </w:rPr>
        <w:t>[Image placeholder]</w:t>
      </w:r>
    </w:p>
    <w:p>
      <w:pPr>
        <w:pStyle w:val="Heading3"/>
      </w:pPr>
      <w:r>
        <w:rPr>
          <w:sz w:val="24"/>
        </w:rPr>
        <w:t>Slide 28/46: (Untitled)</w:t>
      </w:r>
    </w:p>
    <w:p>
      <w:pPr>
        <w:pStyle w:val="Heading3"/>
      </w:pPr>
      <w:r>
        <w:rPr>
          <w:sz w:val="24"/>
        </w:rPr>
        <w:t>Slide 29/46: (Untitled)</w:t>
      </w:r>
    </w:p>
    <w:p>
      <w:r>
        <w:rPr>
          <w:i/>
          <w:color w:val="888888"/>
        </w:rPr>
        <w:t>[Image placeholder]</w:t>
      </w:r>
    </w:p>
    <w:p>
      <w:pPr>
        <w:pStyle w:val="Heading3"/>
      </w:pPr>
      <w:r>
        <w:rPr>
          <w:sz w:val="24"/>
        </w:rPr>
        <w:t>Slide 30/46: (Untitled)</w:t>
      </w:r>
    </w:p>
    <w:p>
      <w:r>
        <w:rPr>
          <w:i/>
          <w:color w:val="888888"/>
        </w:rPr>
        <w:t>[Image placeholder]</w:t>
      </w:r>
    </w:p>
    <w:p>
      <w:pPr>
        <w:spacing w:before="80" w:after="80"/>
        <w:shd w:fill="E8E8E8" w:val="clear"/>
      </w:pPr>
      <w:r>
        <w:rPr>
          <w:i/>
          <w:color w:val="444444"/>
          <w:sz w:val="18"/>
        </w:rPr>
        <w:t>Speaker Notes: Setting the context</w:t>
        <w:br/>
        <w:t>Succeed Insurance has an Einstallments only" requirement for billing certain customers when they renew their policies. Instead of a down payment, the customer is initially billed for the first two installments. After that, the remaining installments are billed at regular intervals.</w:t>
        <w:br/>
        <w:br/>
        <w:t>Zhang points out that BillingCenter supports this requirement.</w:t>
      </w:r>
    </w:p>
    <w:p>
      <w:pPr>
        <w:pStyle w:val="Heading3"/>
      </w:pPr>
      <w:r>
        <w:rPr>
          <w:sz w:val="24"/>
        </w:rPr>
        <w:t>Slide 31/46: (Untitled)</w:t>
      </w:r>
    </w:p>
    <w:p>
      <w:r>
        <w:rPr>
          <w:i/>
          <w:color w:val="888888"/>
        </w:rPr>
        <w:t>[Image placeholder]</w:t>
      </w:r>
    </w:p>
    <w:p>
      <w:pPr>
        <w:spacing w:before="80" w:after="80"/>
        <w:shd w:fill="E8E8E8" w:val="clear"/>
      </w:pPr>
      <w:r>
        <w:rPr>
          <w:i/>
          <w:color w:val="444444"/>
          <w:sz w:val="18"/>
        </w:rPr>
        <w:t>Speaker Notes: First and second installments</w:t>
        <w:br/>
        <w:t>The payment plan allows you to define the scheduling for both a first and second installment. If the payment plan defines a second installment, remaining installments are scheduled at regular intervals based on the date of the second installment.</w:t>
        <w:br/>
        <w:br/>
        <w:t>A payment plan can specify either a down payment and a second installment but not both. Unlike a down payment, all installments must be for equal amounts. A separately scheduled first installment is referred to as an •out-of-sequence" installment. An out-of-sequence first installment gives an insurer the flexibility to bill the first installment as early as possible.</w:t>
        <w:br/>
        <w:br/>
        <w:t>The term •periodic" refers to installments that are billed with a regular cadence. For example, if installment 1 and installment 2 are billed on the same day, and the remaining installments are billed at regular intervals based on installment 2, installment 2 is considered the first periodic installment.</w:t>
        <w:br/>
        <w:br/>
        <w:t>For policy-level billing, the invoice date is determined by the date of the first periodic installment (installment 2 in the payment plan on the slide).</w:t>
      </w:r>
    </w:p>
    <w:p>
      <w:pPr>
        <w:pStyle w:val="Heading3"/>
      </w:pPr>
      <w:r>
        <w:rPr>
          <w:sz w:val="24"/>
        </w:rPr>
        <w:t>Slide 32/46: (Untitled)</w:t>
      </w:r>
    </w:p>
    <w:p>
      <w:r>
        <w:rPr>
          <w:i/>
          <w:color w:val="888888"/>
        </w:rPr>
        <w:t>[Image placeholder]</w:t>
      </w:r>
    </w:p>
    <w:p>
      <w:pPr>
        <w:spacing w:before="80" w:after="80"/>
        <w:shd w:fill="E8E8E8" w:val="clear"/>
      </w:pPr>
      <w:r>
        <w:rPr>
          <w:i/>
          <w:color w:val="444444"/>
          <w:sz w:val="18"/>
        </w:rPr>
        <w:t>Speaker Notes: Big picture: objects involved in charge invoicing</w:t>
        <w:br/>
        <w:t>The slide summarizes the charge invoicing objects that you have learned about. Two objects that control the charge invoicing process are charge pattern and payment plan.</w:t>
        <w:br/>
        <w:br/>
        <w:t>The charge pattern identifies whether the charge must be a single invoice item or can be converted into a set of invoice item such as a down payment and installments. Every charge has one charge pattern.</w:t>
        <w:br/>
        <w:t>The payment plan is the primary guide for the charge invoicing process. Every policy has one payment plan.  It influences:</w:t>
        <w:br/>
        <w:t>Scheduling of one-time charges</w:t>
        <w:br/>
        <w:t>Scheduling of pro rata charges</w:t>
        <w:br/>
        <w:br/>
        <w:t xml:space="preserve">There is an additional plan that influences charge invoicing—the billing plan. Billing plans are discussed in the Sending Invoices lesson. </w:t>
        <w:br/>
        <w:br/>
        <w:t>Note: Technically, the account owns all invoice streams.  However, for policy-level billing,  each invoice stream is associated with only one policy.</w:t>
      </w:r>
    </w:p>
    <w:p>
      <w:pPr>
        <w:pStyle w:val="Heading3"/>
      </w:pPr>
      <w:r>
        <w:rPr>
          <w:sz w:val="24"/>
        </w:rPr>
        <w:t>Slide 33/46: (Untitled)</w:t>
      </w:r>
    </w:p>
    <w:p>
      <w:r>
        <w:rPr>
          <w:i/>
          <w:color w:val="888888"/>
        </w:rPr>
        <w:t>[Image placeholder]</w:t>
      </w:r>
    </w:p>
    <w:p>
      <w:pPr>
        <w:pStyle w:val="Heading3"/>
      </w:pPr>
      <w:r>
        <w:rPr>
          <w:sz w:val="24"/>
        </w:rPr>
        <w:t>Slide 34/46: (Untitled)</w:t>
      </w:r>
    </w:p>
    <w:p>
      <w:r>
        <w:rPr>
          <w:i/>
          <w:color w:val="888888"/>
        </w:rPr>
        <w:t>[Image placeholder]</w:t>
      </w:r>
    </w:p>
    <w:p>
      <w:pPr>
        <w:pStyle w:val="Heading3"/>
      </w:pPr>
      <w:r>
        <w:rPr>
          <w:sz w:val="24"/>
        </w:rPr>
        <w:t>Slide 35/46: (Untitled)</w:t>
      </w:r>
    </w:p>
    <w:p>
      <w:r>
        <w:rPr>
          <w:i/>
          <w:color w:val="888888"/>
        </w:rPr>
        <w:t>[Image placeholder]</w:t>
      </w:r>
    </w:p>
    <w:p>
      <w:pPr>
        <w:pStyle w:val="Heading3"/>
      </w:pPr>
      <w:r>
        <w:rPr>
          <w:sz w:val="24"/>
        </w:rPr>
        <w:t>Slide 36/46: (Untitled)</w:t>
      </w:r>
    </w:p>
    <w:p>
      <w:r>
        <w:rPr>
          <w:i/>
          <w:color w:val="888888"/>
        </w:rPr>
        <w:t>[Image placeholder]</w:t>
      </w:r>
    </w:p>
    <w:p>
      <w:pPr>
        <w:pStyle w:val="Heading3"/>
      </w:pPr>
      <w:r>
        <w:rPr>
          <w:sz w:val="24"/>
        </w:rPr>
        <w:t>Slide 37/46: (Untitled)</w:t>
      </w:r>
    </w:p>
    <w:p>
      <w:r>
        <w:rPr>
          <w:i/>
          <w:color w:val="888888"/>
        </w:rPr>
        <w:t>[Image placeholder]</w:t>
      </w:r>
    </w:p>
    <w:p>
      <w:pPr>
        <w:pStyle w:val="Heading3"/>
      </w:pPr>
      <w:r>
        <w:rPr>
          <w:sz w:val="24"/>
        </w:rPr>
        <w:t>Slide 38/46: (Untitled)</w:t>
      </w:r>
    </w:p>
    <w:p>
      <w:r>
        <w:rPr>
          <w:i/>
          <w:color w:val="888888"/>
        </w:rPr>
        <w:t>[Image placeholder]</w:t>
      </w:r>
    </w:p>
    <w:p>
      <w:pPr>
        <w:pStyle w:val="Heading3"/>
      </w:pPr>
      <w:r>
        <w:rPr>
          <w:sz w:val="24"/>
        </w:rPr>
        <w:t>Slide 39/46: (Untitled)</w:t>
      </w:r>
    </w:p>
    <w:p>
      <w:r>
        <w:rPr>
          <w:i/>
          <w:color w:val="888888"/>
        </w:rPr>
        <w:t>[Image placeholder]</w:t>
      </w:r>
    </w:p>
    <w:p>
      <w:pPr>
        <w:pStyle w:val="Heading3"/>
      </w:pPr>
      <w:r>
        <w:rPr>
          <w:sz w:val="24"/>
        </w:rPr>
        <w:t>Slide 40/46: (Untitled)</w:t>
      </w:r>
    </w:p>
    <w:p>
      <w:r>
        <w:rPr>
          <w:i/>
          <w:color w:val="888888"/>
        </w:rPr>
        <w:t>[Image placeholder]</w:t>
      </w:r>
    </w:p>
    <w:p>
      <w:pPr>
        <w:spacing w:before="80" w:after="80"/>
        <w:shd w:fill="E8E8E8" w:val="clear"/>
      </w:pPr>
      <w:r>
        <w:rPr>
          <w:i/>
          <w:color w:val="444444"/>
          <w:sz w:val="18"/>
        </w:rPr>
        <w:t>Speaker Notes: Setting the context</w:t>
        <w:br/>
        <w:t>Marcus wants to know how BillingCenter handles situations where a single charge combines multiple costs such as a charge for both premium and tax.</w:t>
        <w:br/>
        <w:br/>
        <w:t>Zhang replies that BillingCenter uses charge breakdowns toitemize different costs in the same charge.</w:t>
      </w:r>
    </w:p>
    <w:p>
      <w:pPr>
        <w:pStyle w:val="Heading3"/>
      </w:pPr>
      <w:r>
        <w:rPr>
          <w:sz w:val="24"/>
        </w:rPr>
        <w:t>Slide 41/46: (Untitled)</w:t>
      </w:r>
    </w:p>
    <w:p>
      <w:r>
        <w:rPr>
          <w:i/>
          <w:color w:val="888888"/>
        </w:rPr>
        <w:t>[Image placeholder]</w:t>
      </w:r>
    </w:p>
    <w:p>
      <w:pPr>
        <w:spacing w:before="80" w:after="80"/>
        <w:shd w:fill="E8E8E8" w:val="clear"/>
      </w:pPr>
      <w:r>
        <w:rPr>
          <w:i/>
          <w:color w:val="444444"/>
          <w:sz w:val="18"/>
        </w:rPr>
        <w:t>Speaker Notes: Charge breakdown feature</w:t>
        <w:br/>
        <w:t>Charge breakdown is an optional feature that enables a charge sent from PolicyCenter to BillingCenter to be broken down into an itemized list of amounts by category- Charges can be created without charge breakdowns.</w:t>
        <w:br/>
        <w:br/>
        <w:t>The slide shows an example of a premium charge that is itemized by vehicle. For multi-location policy such as commercial property, you might want to break down a premium charge by location and building. In the base configuration of PolicyCenter,  the personal auto line has been preconfigured to demonstrate charge breakdowns.</w:t>
        <w:br/>
        <w:br/>
        <w:t>The charge breakdown feature satisfies two frequently requested use cases:</w:t>
        <w:br/>
        <w:br/>
        <w:t>The ability to bill premium and taxes together as a single entity. For example, all member countries in the European Union send invoices with premium and taxes grouped together- They also collect payments on the combined premium and taxes charge.</w:t>
        <w:br/>
        <w:br/>
        <w:t>The ability to see the breakdown of a given charge in BillingCenter and to provide cost breakdown details on policyholder invoices. For example, for multilocation policies, many insurers want to show the charge breakdown for each location or each building at a location. In some cases, a breakdown of individual coverage level costs is required to meet government regulatory requirements.</w:t>
        <w:br/>
        <w:br/>
        <w:t>If BillingCenter is integrated with a policy administration system that is not PolicyCenter, it is possible through integration to enable the charge breakdown feature</w:t>
      </w:r>
    </w:p>
    <w:p>
      <w:pPr>
        <w:pStyle w:val="Heading3"/>
      </w:pPr>
      <w:r>
        <w:rPr>
          <w:sz w:val="24"/>
        </w:rPr>
        <w:t>Slide 42/46: (Untitled)</w:t>
      </w:r>
    </w:p>
    <w:p>
      <w:r>
        <w:rPr>
          <w:i/>
          <w:color w:val="888888"/>
        </w:rPr>
        <w:t>[Image placeholder]</w:t>
      </w:r>
    </w:p>
    <w:p>
      <w:pPr>
        <w:spacing w:before="80" w:after="80"/>
        <w:shd w:fill="E8E8E8" w:val="clear"/>
      </w:pPr>
      <w:r>
        <w:rPr>
          <w:i/>
          <w:color w:val="444444"/>
          <w:sz w:val="18"/>
        </w:rPr>
        <w:t>Speaker Notes: Handling charge breakdowns</w:t>
        <w:br/>
        <w:t>When receiving a breakdown for a charge, BillingCenter slices the charge breakdowns into corresponding invoice item breakdowns based on the payment plan. The goal is to provide the charge details to the downstream document management system that produces the invoice that a policyholder receives.</w:t>
        <w:br/>
        <w:br/>
        <w:t xml:space="preserve">A BillingCenter user can view charge breakdowns on the Charges screen for the policy or account. If a charge has a charge breakdown, an additional Charge Breakdown tab is displayed. To view breakdown details for an individual invoice item, click the link in the Placement Date column of the desired invoice item. The Invoice Item Detail screen shows breakdown details for the individual invoice item. </w:t>
        <w:br/>
        <w:br/>
        <w:t>The PremiumlncludingTaxes charge pattern is used for charges that have a charge breakdown. Like the Premium charge pattern, the PremiumlncludingTaxes charge pattern has a category of Premium and a type of Pro-Rata Charge.</w:t>
      </w:r>
    </w:p>
    <w:p>
      <w:pPr>
        <w:pStyle w:val="Heading3"/>
      </w:pPr>
      <w:r>
        <w:rPr>
          <w:sz w:val="24"/>
        </w:rPr>
        <w:t>Slide 43/46: (Untitled)</w:t>
      </w:r>
    </w:p>
    <w:p>
      <w:r>
        <w:rPr>
          <w:i/>
          <w:color w:val="888888"/>
        </w:rPr>
        <w:t>[Image placeholder]</w:t>
      </w:r>
    </w:p>
    <w:p>
      <w:pPr>
        <w:pStyle w:val="Heading3"/>
      </w:pPr>
      <w:r>
        <w:rPr>
          <w:sz w:val="24"/>
        </w:rPr>
        <w:t>Slide 44/46: (Untitled)</w:t>
      </w:r>
    </w:p>
    <w:p>
      <w:r>
        <w:rPr>
          <w:i/>
          <w:color w:val="888888"/>
        </w:rPr>
        <w:t>[Image placeholder]</w:t>
      </w:r>
    </w:p>
    <w:p>
      <w:pPr>
        <w:pStyle w:val="Heading3"/>
      </w:pPr>
      <w:r>
        <w:rPr>
          <w:sz w:val="24"/>
        </w:rPr>
        <w:t>Slide 45/46: (Untitled)</w:t>
      </w:r>
    </w:p>
    <w:p>
      <w:r>
        <w:rPr>
          <w:i/>
          <w:color w:val="888888"/>
        </w:rPr>
        <w:t>[Image placeholder]</w:t>
      </w:r>
    </w:p>
    <w:p>
      <w:pPr>
        <w:pStyle w:val="Heading3"/>
      </w:pPr>
      <w:r>
        <w:rPr>
          <w:sz w:val="24"/>
        </w:rPr>
        <w:t>Slide 46/46: (Untitled)</w:t>
      </w:r>
    </w:p>
    <w:p>
      <w:r>
        <w:rPr>
          <w:i/>
          <w:color w:val="888888"/>
        </w:rPr>
        <w:t>[Image placeholder]</w:t>
      </w:r>
    </w:p>
    <w:p>
      <w:pPr>
        <w:pStyle w:val="Heading2"/>
      </w:pPr>
      <w:r>
        <w:t>Assignment</w:t>
      </w:r>
    </w:p>
    <w:p>
      <w:r>
        <w:rPr>
          <w:b/>
          <w:color w:val="008800"/>
        </w:rPr>
        <w:t>[Assignment 05]: Billing a Pro Rata Charge</w:t>
      </w:r>
    </w:p>
    <w:p>
      <w:r>
        <w:rPr>
          <w:i/>
          <w:sz w:val="18"/>
        </w:rPr>
        <w:t>File: 05 - Billing a Pro Rata Charge.pdf</w:t>
      </w:r>
    </w:p>
    <w:p/>
    <w:p>
      <w:pPr>
        <w:spacing w:before="240"/>
        <w:jc w:val="center"/>
      </w:pPr>
      <w:r>
        <w:rPr>
          <w:i/>
          <w:color w:val="999999"/>
          <w:sz w:val="16"/>
        </w:rPr>
        <w:t>--- End of Lesson 5: Billing a Pro Rata Charge | 46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