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7: Sending Invoices</w:t>
      </w:r>
    </w:p>
    <w:p>
      <w:pPr>
        <w:spacing w:after="40"/>
      </w:pPr>
      <w:r>
        <w:rPr>
          <w:i/>
          <w:color w:val="999999"/>
          <w:sz w:val="16"/>
        </w:rPr>
        <w:t>Source: Sending Invoices.pptx</w:t>
      </w:r>
    </w:p>
    <w:p>
      <w:pPr>
        <w:pStyle w:val="Heading3"/>
      </w:pPr>
      <w:r>
        <w:t>Video References</w:t>
      </w:r>
    </w:p>
    <w:p>
      <w:pPr>
        <w:pStyle w:val="ListNumber"/>
      </w:pPr>
      <w:r>
        <w:rPr>
          <w:color w:val="0066CC"/>
          <w:sz w:val="20"/>
        </w:rPr>
        <w:t>[Video 1: Billing_07_01.mp4]</w:t>
      </w:r>
    </w:p>
    <w:p/>
    <w:p>
      <w:pPr>
        <w:pStyle w:val="Heading2"/>
      </w:pPr>
      <w:r>
        <w:t>Slide Content</w:t>
      </w:r>
    </w:p>
    <w:p>
      <w:pPr>
        <w:pStyle w:val="Heading3"/>
      </w:pPr>
      <w:r>
        <w:rPr>
          <w:sz w:val="24"/>
        </w:rPr>
        <w:t>Slide 1/37: (Untitled)</w:t>
      </w:r>
    </w:p>
    <w:p>
      <w:r>
        <w:rPr>
          <w:i/>
          <w:color w:val="888888"/>
        </w:rPr>
        <w:t>[Image placeholder]</w:t>
      </w:r>
    </w:p>
    <w:p>
      <w:pPr>
        <w:pStyle w:val="Heading3"/>
      </w:pPr>
      <w:r>
        <w:rPr>
          <w:sz w:val="24"/>
        </w:rPr>
        <w:t>Slide 2/37: (Untitled)</w:t>
      </w:r>
    </w:p>
    <w:p>
      <w:r>
        <w:rPr>
          <w:i/>
          <w:color w:val="888888"/>
        </w:rPr>
        <w:t>[Image placeholder]</w:t>
      </w:r>
    </w:p>
    <w:p>
      <w:pPr>
        <w:pStyle w:val="Heading3"/>
      </w:pPr>
      <w:r>
        <w:rPr>
          <w:sz w:val="24"/>
        </w:rPr>
        <w:t>Slide 3/37: (Untitled)</w:t>
      </w:r>
    </w:p>
    <w:p>
      <w:r>
        <w:rPr>
          <w:i/>
          <w:color w:val="888888"/>
        </w:rPr>
        <w:t>[Image placeholder]</w:t>
      </w:r>
    </w:p>
    <w:p>
      <w:pPr>
        <w:pStyle w:val="Heading3"/>
      </w:pPr>
      <w:r>
        <w:rPr>
          <w:sz w:val="24"/>
        </w:rPr>
        <w:t>Slide 4/37: (Untitled)</w:t>
      </w:r>
    </w:p>
    <w:p>
      <w:r>
        <w:rPr>
          <w:i/>
          <w:color w:val="888888"/>
        </w:rPr>
        <w:t>[Image placeholder]</w:t>
      </w:r>
    </w:p>
    <w:p>
      <w:pPr>
        <w:spacing w:before="80" w:after="80"/>
        <w:shd w:fill="E8E8E8" w:val="clear"/>
      </w:pPr>
      <w:r>
        <w:rPr>
          <w:i/>
          <w:color w:val="444444"/>
          <w:sz w:val="18"/>
        </w:rPr>
        <w:t>Speaker Notes: Setting the context</w:t>
        <w:br/>
        <w:t>Marcus, the business analyst, asks Marci, a configuration developer, to describe the invoicing lifecycle. Marci agrees.  She also volunteers to show Marcus how to test the lifecycle in BillingCenter.</w:t>
      </w:r>
    </w:p>
    <w:p>
      <w:pPr>
        <w:pStyle w:val="Heading3"/>
      </w:pPr>
      <w:r>
        <w:rPr>
          <w:sz w:val="24"/>
        </w:rPr>
        <w:t>Slide 5/37: (Untitled)</w:t>
      </w:r>
    </w:p>
    <w:p>
      <w:r>
        <w:rPr>
          <w:i/>
          <w:color w:val="888888"/>
        </w:rPr>
        <w:t>[Image placeholder]</w:t>
      </w:r>
    </w:p>
    <w:p>
      <w:pPr>
        <w:spacing w:before="80" w:after="80"/>
        <w:shd w:fill="E8E8E8" w:val="clear"/>
      </w:pPr>
      <w:r>
        <w:rPr>
          <w:i/>
          <w:color w:val="444444"/>
          <w:sz w:val="18"/>
        </w:rPr>
        <w:t>Speaker Notes: Billing can be automatic or "responsive"</w:t>
        <w:br/>
        <w:t>BillingCenter supports two general types of billing:</w:t>
        <w:br/>
        <w:br/>
        <w:t>Automatic, where BillingCenter sends a payment request to a financial institution such as a bank or automatic clearing house</w:t>
        <w:br/>
        <w:t>Responsive, where BillingCenter bills the insured directly by sending an invoice through mail or email</w:t>
        <w:br/>
        <w:br/>
        <w:t>The focus of this lesson is responsive billing.</w:t>
        <w:br/>
        <w:br/>
        <w:t>A payment instrument specifies how the insured intends to submit payments to BillingCenter- For an account, the possible values for Payment Instrument in the base application are Responsive,  EFT/ACH, and Credit Card.  Depending on the context, other values such as Cash and Check are available.</w:t>
      </w:r>
    </w:p>
    <w:p>
      <w:pPr>
        <w:pStyle w:val="Heading3"/>
      </w:pPr>
      <w:r>
        <w:rPr>
          <w:sz w:val="24"/>
        </w:rPr>
        <w:t>Slide 6/37: (Untitled)</w:t>
      </w:r>
    </w:p>
    <w:p>
      <w:r>
        <w:rPr>
          <w:i/>
          <w:color w:val="888888"/>
        </w:rPr>
        <w:t>[Image placeholder]</w:t>
      </w:r>
    </w:p>
    <w:p>
      <w:pPr>
        <w:spacing w:before="80" w:after="80"/>
        <w:shd w:fill="E8E8E8" w:val="clear"/>
      </w:pPr>
      <w:r>
        <w:rPr>
          <w:i/>
          <w:color w:val="444444"/>
          <w:sz w:val="18"/>
        </w:rPr>
        <w:t>Speaker Notes: Basic invoice lifecycle (I of 2)</w:t>
        <w:br/>
        <w:t>A new invoice has a status of Planned.</w:t>
        <w:br/>
        <w:br/>
        <w:t>On the bill date of the invoice (also known as the invoice date or the statement date), the Invoice batch process changes the status of the invoice from Planned to Billed.</w:t>
      </w:r>
    </w:p>
    <w:p>
      <w:pPr>
        <w:pStyle w:val="Heading3"/>
      </w:pPr>
      <w:r>
        <w:rPr>
          <w:sz w:val="24"/>
        </w:rPr>
        <w:t>Slide 7/37: (Untitled)</w:t>
      </w:r>
    </w:p>
    <w:p>
      <w:r>
        <w:rPr>
          <w:i/>
          <w:color w:val="888888"/>
        </w:rPr>
        <w:t>[Image placeholder]</w:t>
      </w:r>
    </w:p>
    <w:p>
      <w:pPr>
        <w:spacing w:before="80" w:after="80"/>
        <w:shd w:fill="E8E8E8" w:val="clear"/>
      </w:pPr>
      <w:r>
        <w:rPr>
          <w:i/>
          <w:color w:val="444444"/>
          <w:sz w:val="18"/>
        </w:rPr>
        <w:t>Speaker Notes: Basic invoice lifecycle (2 of 2)</w:t>
        <w:br/>
        <w:t>One day after the due date of the invoice, the Invoice Due batch process changes the status of the invoice from Billed to Due. At this point, if this invoice has not been paid in full, it is actually overdue.</w:t>
      </w:r>
    </w:p>
    <w:p>
      <w:pPr>
        <w:pStyle w:val="Heading3"/>
      </w:pPr>
      <w:r>
        <w:rPr>
          <w:sz w:val="24"/>
        </w:rPr>
        <w:t>Slide 8/37: (Untitled)</w:t>
      </w:r>
    </w:p>
    <w:p>
      <w:r>
        <w:rPr>
          <w:i/>
          <w:color w:val="888888"/>
        </w:rPr>
        <w:t>[Image placeholder]</w:t>
      </w:r>
    </w:p>
    <w:p>
      <w:pPr>
        <w:spacing w:before="80" w:after="80"/>
        <w:shd w:fill="E8E8E8" w:val="clear"/>
      </w:pPr>
      <w:r>
        <w:rPr>
          <w:i/>
          <w:color w:val="444444"/>
          <w:sz w:val="18"/>
        </w:rPr>
        <w:t>Speaker Notes: Tools for invoice lifecycle testing</w:t>
        <w:br/>
        <w:t>For testing purposes, BillingCenter running in development mode provides several run commands that allow you to advance the testing clock.  If you are an authorized user, you can run these commands from the QuickJump field. You can also advance the clock from the Internal Tools tab.</w:t>
        <w:br/>
        <w:br/>
        <w:t>The Server Tools tab provides a facility for running batch processes such as Invoice and Invoice Due.</w:t>
      </w:r>
    </w:p>
    <w:p>
      <w:pPr>
        <w:pStyle w:val="Heading3"/>
      </w:pPr>
      <w:r>
        <w:rPr>
          <w:sz w:val="24"/>
        </w:rPr>
        <w:t>Slide 9/37: (Untitled)</w:t>
      </w:r>
    </w:p>
    <w:p>
      <w:r>
        <w:rPr>
          <w:i/>
          <w:color w:val="888888"/>
        </w:rPr>
        <w:t>[Image placeholder]</w:t>
      </w:r>
    </w:p>
    <w:p>
      <w:pPr>
        <w:pStyle w:val="Heading3"/>
      </w:pPr>
      <w:r>
        <w:rPr>
          <w:sz w:val="24"/>
        </w:rPr>
        <w:t>Slide 10/37: (Untitled)</w:t>
      </w:r>
    </w:p>
    <w:p>
      <w:pPr>
        <w:pStyle w:val="Heading3"/>
      </w:pPr>
      <w:r>
        <w:rPr>
          <w:sz w:val="24"/>
        </w:rPr>
        <w:t>Slide 11/37: (Untitled)</w:t>
      </w:r>
    </w:p>
    <w:p>
      <w:r>
        <w:rPr>
          <w:i/>
          <w:color w:val="888888"/>
        </w:rPr>
        <w:t>[Image placeholder]</w:t>
      </w:r>
    </w:p>
    <w:p>
      <w:pPr>
        <w:pStyle w:val="Heading3"/>
      </w:pPr>
      <w:r>
        <w:rPr>
          <w:sz w:val="24"/>
        </w:rPr>
        <w:t>Slide 12/37: (Untitled)</w:t>
      </w:r>
    </w:p>
    <w:p>
      <w:r>
        <w:rPr>
          <w:i/>
          <w:color w:val="888888"/>
        </w:rPr>
        <w:t>[Image placeholder]</w:t>
      </w:r>
    </w:p>
    <w:p>
      <w:pPr>
        <w:pStyle w:val="Heading3"/>
      </w:pPr>
      <w:r>
        <w:rPr>
          <w:sz w:val="24"/>
        </w:rPr>
        <w:t>Slide 13/37: (Untitled)</w:t>
      </w:r>
    </w:p>
    <w:p>
      <w:r>
        <w:rPr>
          <w:i/>
          <w:color w:val="888888"/>
        </w:rPr>
        <w:t>[Image placeholder]</w:t>
      </w:r>
    </w:p>
    <w:p>
      <w:pPr>
        <w:pStyle w:val="Heading3"/>
      </w:pPr>
      <w:r>
        <w:rPr>
          <w:sz w:val="24"/>
        </w:rPr>
        <w:t>Slide 14/37: (Untitled)</w:t>
      </w:r>
    </w:p>
    <w:p>
      <w:r>
        <w:rPr>
          <w:i/>
          <w:color w:val="888888"/>
        </w:rPr>
        <w:t>[Image placeholder]</w:t>
      </w:r>
    </w:p>
    <w:p>
      <w:pPr>
        <w:pStyle w:val="Heading3"/>
      </w:pPr>
      <w:r>
        <w:rPr>
          <w:sz w:val="24"/>
        </w:rPr>
        <w:t>Slide 15/37: (Untitled)</w:t>
      </w:r>
    </w:p>
    <w:p>
      <w:r>
        <w:rPr>
          <w:i/>
          <w:color w:val="888888"/>
        </w:rPr>
        <w:t>[Image placeholder]</w:t>
      </w:r>
    </w:p>
    <w:p>
      <w:pPr>
        <w:pStyle w:val="Heading3"/>
      </w:pPr>
      <w:r>
        <w:rPr>
          <w:sz w:val="24"/>
        </w:rPr>
        <w:t>Slide 16/37: (Untitled)</w:t>
      </w:r>
    </w:p>
    <w:p>
      <w:r>
        <w:rPr>
          <w:i/>
          <w:color w:val="888888"/>
        </w:rPr>
        <w:t>[Image placeholder]</w:t>
      </w:r>
    </w:p>
    <w:p>
      <w:pPr>
        <w:pStyle w:val="Heading3"/>
      </w:pPr>
      <w:r>
        <w:rPr>
          <w:sz w:val="24"/>
        </w:rPr>
        <w:t>Slide 17/37: (Untitled)</w:t>
      </w:r>
    </w:p>
    <w:p>
      <w:r>
        <w:rPr>
          <w:i/>
          <w:color w:val="888888"/>
        </w:rPr>
        <w:t>[Image placeholder]</w:t>
      </w:r>
    </w:p>
    <w:p>
      <w:pPr>
        <w:spacing w:before="80" w:after="80"/>
        <w:shd w:fill="E8E8E8" w:val="clear"/>
      </w:pPr>
      <w:r>
        <w:rPr>
          <w:i/>
          <w:color w:val="444444"/>
          <w:sz w:val="18"/>
        </w:rPr>
        <w:t>Speaker Notes: Setting the context</w:t>
        <w:br/>
        <w:t>Marcus asks Marci about invoice processing fees. Often, insurers charge an invoice processing fee.  Marci replies that BillingCenter allows you to specify an invoice fee on the billing plan.</w:t>
      </w:r>
    </w:p>
    <w:p>
      <w:pPr>
        <w:pStyle w:val="Heading3"/>
      </w:pPr>
      <w:r>
        <w:rPr>
          <w:sz w:val="24"/>
        </w:rPr>
        <w:t>Slide 18/37: (Untitled)</w:t>
      </w:r>
    </w:p>
    <w:p>
      <w:r>
        <w:rPr>
          <w:i/>
          <w:color w:val="888888"/>
        </w:rPr>
        <w:t>[Image placeholder]</w:t>
      </w:r>
    </w:p>
    <w:p>
      <w:pPr>
        <w:spacing w:before="80" w:after="80"/>
        <w:shd w:fill="E8E8E8" w:val="clear"/>
      </w:pPr>
      <w:r>
        <w:rPr>
          <w:i/>
          <w:color w:val="444444"/>
          <w:sz w:val="18"/>
        </w:rPr>
        <w:t>Speaker Notes: Invoice processing fees</w:t>
        <w:br/>
        <w:t xml:space="preserve">In the example, the billing plan specifies an invoice fee of $2.00. On the invoice bill date, the Invoice batch process adds the invoice fee as a One-Time charge when it changes the invoice status from Planned to Billed. An invoice item is added to the invoice for the fee amount.  BillingCenter categorizes an invoice fee as an account charge.  </w:t>
        <w:br/>
        <w:br/>
        <w:t xml:space="preserve">Note: The One-Time charge type always maps to a single invoice item. Every time an invoice becomes billed, a new One-Time charge will be added for the invoice fee.  </w:t>
        <w:br/>
        <w:br/>
        <w:t>In addition to invoice fees,  BillingCenter allows you to specify an installment fee (on the payment plan). See the BillingCenterApplication Guide for details.</w:t>
      </w:r>
    </w:p>
    <w:p>
      <w:pPr>
        <w:pStyle w:val="Heading3"/>
      </w:pPr>
      <w:r>
        <w:rPr>
          <w:sz w:val="24"/>
        </w:rPr>
        <w:t>Slide 19/37: (Untitled)</w:t>
      </w:r>
    </w:p>
    <w:p>
      <w:r>
        <w:rPr>
          <w:i/>
          <w:color w:val="888888"/>
        </w:rPr>
        <w:t>[Image placeholder]</w:t>
      </w:r>
    </w:p>
    <w:p>
      <w:pPr>
        <w:pStyle w:val="Heading3"/>
      </w:pPr>
      <w:r>
        <w:rPr>
          <w:sz w:val="24"/>
        </w:rPr>
        <w:t>Slide 20/37: (Untitled)</w:t>
      </w:r>
    </w:p>
    <w:p>
      <w:pPr>
        <w:pStyle w:val="Heading3"/>
      </w:pPr>
      <w:r>
        <w:rPr>
          <w:sz w:val="24"/>
        </w:rPr>
        <w:t>Slide 21/37: (Untitled)</w:t>
      </w:r>
    </w:p>
    <w:p>
      <w:r>
        <w:rPr>
          <w:i/>
          <w:color w:val="888888"/>
        </w:rPr>
        <w:t>[Image placeholder]</w:t>
      </w:r>
    </w:p>
    <w:p>
      <w:pPr>
        <w:pStyle w:val="Heading3"/>
      </w:pPr>
      <w:r>
        <w:rPr>
          <w:sz w:val="24"/>
        </w:rPr>
        <w:t>Slide 22/37: (Untitled)</w:t>
      </w:r>
    </w:p>
    <w:p>
      <w:r>
        <w:rPr>
          <w:i/>
          <w:color w:val="888888"/>
        </w:rPr>
        <w:t>[Image placeholder]</w:t>
      </w:r>
    </w:p>
    <w:p>
      <w:pPr>
        <w:pStyle w:val="Heading3"/>
      </w:pPr>
      <w:r>
        <w:rPr>
          <w:sz w:val="24"/>
        </w:rPr>
        <w:t>Slide 23/37: (Untitled)</w:t>
      </w:r>
    </w:p>
    <w:p>
      <w:r>
        <w:rPr>
          <w:i/>
          <w:color w:val="888888"/>
        </w:rPr>
        <w:t>[Image placeholder]</w:t>
      </w:r>
    </w:p>
    <w:p>
      <w:pPr>
        <w:pStyle w:val="Heading3"/>
      </w:pPr>
      <w:r>
        <w:rPr>
          <w:sz w:val="24"/>
        </w:rPr>
        <w:t>Slide 24/37: (Untitled)</w:t>
      </w:r>
    </w:p>
    <w:p>
      <w:r>
        <w:rPr>
          <w:i/>
          <w:color w:val="888888"/>
        </w:rPr>
        <w:t>[Image placeholder]</w:t>
      </w:r>
    </w:p>
    <w:p>
      <w:pPr>
        <w:pStyle w:val="Heading3"/>
      </w:pPr>
      <w:r>
        <w:rPr>
          <w:sz w:val="24"/>
        </w:rPr>
        <w:t>Slide 25/37: (Untitled)</w:t>
      </w:r>
    </w:p>
    <w:p>
      <w:r>
        <w:rPr>
          <w:i/>
          <w:color w:val="888888"/>
        </w:rPr>
        <w:t>[Image placeholder]</w:t>
      </w:r>
    </w:p>
    <w:p>
      <w:pPr>
        <w:spacing w:before="80" w:after="80"/>
        <w:shd w:fill="E8E8E8" w:val="clear"/>
      </w:pPr>
      <w:r>
        <w:rPr>
          <w:i/>
          <w:color w:val="444444"/>
          <w:sz w:val="18"/>
        </w:rPr>
        <w:t>Speaker Notes: Setting the context</w:t>
        <w:br/>
        <w:t>The cost of creating, sending and maintaining an invoice with a small balance may be more than the amount to be collected. This is the reason an insurer typically does not send invoices that have extremely low balances. Instead,  the insurer either writes off the small amount or carries it forward to the next invoice.</w:t>
        <w:br/>
        <w:br/>
        <w:t>As Marci points out, BillingCenter provides two choices for handling low balance invoices, carry forward and write off.</w:t>
        <w:br/>
        <w:br/>
        <w:t>Invoices can fall below the minimum amount specified by the insurer for various reasons such as a policy change or an overpayment of one invoice that leads to less money due on the next invoice.</w:t>
      </w:r>
    </w:p>
    <w:p>
      <w:pPr>
        <w:pStyle w:val="Heading3"/>
      </w:pPr>
      <w:r>
        <w:rPr>
          <w:sz w:val="24"/>
        </w:rPr>
        <w:t>Slide 26/37: (Untitled)</w:t>
      </w:r>
    </w:p>
    <w:p>
      <w:r>
        <w:rPr>
          <w:i/>
          <w:color w:val="888888"/>
        </w:rPr>
        <w:t>[Image placeholder]</w:t>
      </w:r>
    </w:p>
    <w:p>
      <w:pPr>
        <w:spacing w:before="80" w:after="80"/>
        <w:shd w:fill="E8E8E8" w:val="clear"/>
      </w:pPr>
      <w:r>
        <w:rPr>
          <w:i/>
          <w:color w:val="444444"/>
          <w:sz w:val="18"/>
        </w:rPr>
        <w:t>Speaker Notes: Carry forward example</w:t>
        <w:br/>
        <w:t xml:space="preserve">The Low Balance Invoices settings on the billing plan allow you to control how BillingCenter handles balances below a specified threshold. You can instruct the Invoice batch process to carry forward a small balance from an invoice and move it to the next planned invoice. Altematively, you can instruct the Invoice batch process to write off the small balance. A write off example is shown on the next slide.  </w:t>
        <w:br/>
        <w:br/>
        <w:t xml:space="preserve">In the top screenshot, the billing plan specifies a Low Balance Threshold of $25 and Low Balance Handling is set to Carry Forward. On the invoice bill date, the Invoice batch process checks the invoice total against the Low Balance Threshold amount. If the total is less than the threshold amount, the batch process moves the invoice items to the next planned invoice and changes the status of the original  (empty) invoice to Carried Forward. If the low balance invoice is the final invoice, it becomes billed on its bill date because there is no planned invoice to carry forward to.  </w:t>
        <w:br/>
        <w:br/>
        <w:t>BillingCenter does not automatically delete the empty invoice. However, you can delete it from the Invoices screen.  Select the invoice and click Delete Invoice.</w:t>
      </w:r>
    </w:p>
    <w:p>
      <w:pPr>
        <w:pStyle w:val="Heading3"/>
      </w:pPr>
      <w:r>
        <w:rPr>
          <w:sz w:val="24"/>
        </w:rPr>
        <w:t>Slide 27/37: (Untitled)</w:t>
      </w:r>
    </w:p>
    <w:p>
      <w:r>
        <w:rPr>
          <w:i/>
          <w:color w:val="888888"/>
        </w:rPr>
        <w:t>[Image placeholder]</w:t>
      </w:r>
    </w:p>
    <w:p>
      <w:pPr>
        <w:spacing w:before="80" w:after="80"/>
        <w:shd w:fill="E8E8E8" w:val="clear"/>
      </w:pPr>
      <w:r>
        <w:rPr>
          <w:i/>
          <w:color w:val="444444"/>
          <w:sz w:val="18"/>
        </w:rPr>
        <w:t>Speaker Notes: Write off example</w:t>
        <w:br/>
        <w:t>Instead of carrying a small amount forward, you can direct the Invoice batch process to write off a small balance. The Invoice batch process writes off the due amount and changes the status of the invoice to Written</w:t>
      </w:r>
    </w:p>
    <w:p>
      <w:pPr>
        <w:pStyle w:val="Heading3"/>
      </w:pPr>
      <w:r>
        <w:rPr>
          <w:sz w:val="24"/>
        </w:rPr>
        <w:t>Slide 28/37: (Untitled)</w:t>
      </w:r>
    </w:p>
    <w:p>
      <w:r>
        <w:rPr>
          <w:i/>
          <w:color w:val="888888"/>
        </w:rPr>
        <w:t>[Image placeholder]</w:t>
      </w:r>
    </w:p>
    <w:p>
      <w:pPr>
        <w:spacing w:before="80" w:after="80"/>
        <w:shd w:fill="E8E8E8" w:val="clear"/>
      </w:pPr>
      <w:r>
        <w:rPr>
          <w:i/>
          <w:color w:val="444444"/>
          <w:sz w:val="18"/>
        </w:rPr>
        <w:t>Speaker Notes: Invoice lifecycle revisited</w:t>
        <w:br/>
        <w:t>The slide revisits the invoice lifecycle and shows the three possible outcomes from running the Invoice batch process. An invoice moves from Planned to Billed or Carry Forward or Written</w:t>
      </w:r>
    </w:p>
    <w:p>
      <w:pPr>
        <w:pStyle w:val="Heading3"/>
      </w:pPr>
      <w:r>
        <w:rPr>
          <w:sz w:val="24"/>
        </w:rPr>
        <w:t>Slide 29/37: (Untitled)</w:t>
      </w:r>
    </w:p>
    <w:p>
      <w:r>
        <w:rPr>
          <w:i/>
          <w:color w:val="888888"/>
        </w:rPr>
        <w:t>[Image placeholder]</w:t>
      </w:r>
    </w:p>
    <w:p>
      <w:pPr>
        <w:spacing w:before="80" w:after="80"/>
        <w:shd w:fill="E8E8E8" w:val="clear"/>
      </w:pPr>
      <w:r>
        <w:rPr>
          <w:i/>
          <w:color w:val="444444"/>
          <w:sz w:val="18"/>
        </w:rPr>
        <w:t>Speaker Notes: Setting the context</w:t>
        <w:br/>
        <w:t>Marcus is interested to learn about automated (non- responsive) billing in BillingCenter.</w:t>
      </w:r>
    </w:p>
    <w:p>
      <w:pPr>
        <w:pStyle w:val="Heading3"/>
      </w:pPr>
      <w:r>
        <w:rPr>
          <w:sz w:val="24"/>
        </w:rPr>
        <w:t>Slide 30/37: (Untitled)</w:t>
      </w:r>
    </w:p>
    <w:p>
      <w:r>
        <w:rPr>
          <w:i/>
          <w:color w:val="888888"/>
        </w:rPr>
        <w:t>[Image placeholder]</w:t>
      </w:r>
    </w:p>
    <w:p>
      <w:pPr>
        <w:spacing w:before="80" w:after="80"/>
        <w:shd w:fill="E8E8E8" w:val="clear"/>
      </w:pPr>
      <w:r>
        <w:rPr>
          <w:i/>
          <w:color w:val="444444"/>
          <w:sz w:val="18"/>
        </w:rPr>
        <w:t>Speaker Notes: Payment requests</w:t>
        <w:br/>
        <w:t>The Invoice batch process creates the payment request when an invoice is ready for billing. The Payment Request batch process advances the status of the payment request and initiates the appropriate processing.</w:t>
        <w:br/>
        <w:br/>
        <w:t>The nonresponsive (automatic) payment instruments are managed entirely by the insurer, and the insured does not need to respond to the notice unless a change is needed.</w:t>
        <w:br/>
        <w:br/>
        <w:t>All forms of electronic payment require some level of integration work to implement.</w:t>
      </w:r>
    </w:p>
    <w:p>
      <w:pPr>
        <w:pStyle w:val="Heading3"/>
      </w:pPr>
      <w:r>
        <w:rPr>
          <w:sz w:val="24"/>
        </w:rPr>
        <w:t>Slide 31/37: (Untitled)</w:t>
      </w:r>
    </w:p>
    <w:p>
      <w:r>
        <w:rPr>
          <w:i/>
          <w:color w:val="888888"/>
        </w:rPr>
        <w:t>[Image placeholder]</w:t>
      </w:r>
    </w:p>
    <w:p>
      <w:pPr>
        <w:spacing w:before="80" w:after="80"/>
        <w:shd w:fill="E8E8E8" w:val="clear"/>
      </w:pPr>
      <w:r>
        <w:rPr>
          <w:i/>
          <w:color w:val="444444"/>
          <w:sz w:val="18"/>
        </w:rPr>
        <w:t>Speaker Notes: Payment request cycle: example</w:t>
        <w:br/>
        <w:t>The payment request cycle is similar to the invoicing cycle- It defines the stages of a request that BillingCenter makes to a remote system for an electronic payment. The dates on which the payment request changes status and is processed are calculated based on the invoice's Due Date and the Payment Request Status settings on the account's billing plan.</w:t>
        <w:br/>
        <w:br/>
        <w:t>Let's assume the payment instrument is EFT. Changing a payment request from Created to Requested triggers the creation of an EFT request record. The request is sent to an external EFT system by means of an integration message.  Payment requests can also handle situations where payments are arranged in advance, including holding post-dated checks- When the payment request is Fixed, no changes can be made to it</w:t>
        <w:br/>
        <w:br/>
        <w:t>When the payment request reaches Drafted status, the payment can be automatically created through configuration, based on an EFT process that assumes debit requests are paid and honored with any actual dishonors handled later.  (Note that the status is changed to Drafted based on the Draft date, not because of any communication with the EFT system.) In this case, the payment would not be created again when a feed of actual electronic payments is received at a later date.</w:t>
        <w:br/>
        <w:br/>
        <w:t>If a notice needs to be sent to the customer prior to the direct debit, this would be sent by the Invoice batch process and requires configuration- The creation of the first request to a new bank account may also need to create an electronic mandate to be sent to the bank (depending on the clearing system being used).  This can be triggered from the payment request creation through configuration-</w:t>
        <w:br/>
        <w:br/>
        <w:t>Note: The bottom screenshot has been edited to show a payment request over time.</w:t>
      </w:r>
    </w:p>
    <w:p>
      <w:pPr>
        <w:pStyle w:val="Heading3"/>
      </w:pPr>
      <w:r>
        <w:rPr>
          <w:sz w:val="24"/>
        </w:rPr>
        <w:t>Slide 32/37: (Untitled)</w:t>
      </w:r>
    </w:p>
    <w:p>
      <w:r>
        <w:rPr>
          <w:i/>
          <w:color w:val="888888"/>
        </w:rPr>
        <w:t>[Image placeholder]</w:t>
      </w:r>
    </w:p>
    <w:p>
      <w:pPr>
        <w:spacing w:before="80" w:after="80"/>
        <w:shd w:fill="E8E8E8" w:val="clear"/>
      </w:pPr>
      <w:r>
        <w:rPr>
          <w:i/>
          <w:color w:val="444444"/>
          <w:sz w:val="18"/>
        </w:rPr>
        <w:t>Speaker Notes: Payment request statuses and dates</w:t>
        <w:br/>
        <w:t>Payment requests are shown on the Account tab under Payments. The dates show when the payment request will advance along its lifecycle. The payment request has a status of Requested. The direct debit has been sent to the clearing house-</w:t>
        <w:br/>
        <w:br/>
        <w:t>Note that we may send a stop to the bank for this request right up to Jan 5th, which is the change deadline date,  after which the direct debit cannot be stopped. At this point, the status is Fixed. The payment is made ("Drafted)  one day later and will be closed on the close date.</w:t>
        <w:br/>
        <w:br/>
        <w:t>There is no accounting for payment requests. That is, no T-accounts are affected in BillingCenter. Any payment automatically created by the payment request is subject to its own accounting and the billing cycle (requires configuration).</w:t>
        <w:br/>
        <w:br/>
        <w:t>Here is a summary of the payment request statuses:</w:t>
        <w:br/>
        <w:br/>
        <w:t>Created—initial status of the request</w:t>
        <w:br/>
        <w:br/>
        <w:t>Requested—(OptionaI) Used if you are managing bank integration through a payment gateway or other intermediary- The payment request could be sent on this date.</w:t>
        <w:br/>
        <w:br/>
        <w:t>Fixed—The amount and payment instrument are set and cannot be changed- However, you could cancel the request and create a new one-</w:t>
        <w:br/>
        <w:br/>
        <w:t xml:space="preserve">Drafted—The date the request is sent to the bank </w:t>
        <w:br/>
        <w:t>Closed—The payment request no longer appears as a work item for BillingCenter to process.</w:t>
      </w:r>
    </w:p>
    <w:p>
      <w:pPr>
        <w:pStyle w:val="Heading3"/>
      </w:pPr>
      <w:r>
        <w:rPr>
          <w:sz w:val="24"/>
        </w:rPr>
        <w:t>Slide 33/37: (Untitled)</w:t>
      </w:r>
    </w:p>
    <w:p>
      <w:r>
        <w:rPr>
          <w:i/>
          <w:color w:val="888888"/>
        </w:rPr>
        <w:t>[Image placeholder]</w:t>
      </w:r>
    </w:p>
    <w:p>
      <w:pPr>
        <w:pStyle w:val="Heading3"/>
      </w:pPr>
      <w:r>
        <w:rPr>
          <w:sz w:val="24"/>
        </w:rPr>
        <w:t>Slide 34/37: (Untitled)</w:t>
      </w:r>
    </w:p>
    <w:p>
      <w:r>
        <w:rPr>
          <w:i/>
          <w:color w:val="888888"/>
        </w:rPr>
        <w:t>[Image placeholder]</w:t>
      </w:r>
    </w:p>
    <w:p>
      <w:pPr>
        <w:pStyle w:val="Heading3"/>
      </w:pPr>
      <w:r>
        <w:rPr>
          <w:sz w:val="24"/>
        </w:rPr>
        <w:t>Slide 35/37: (Untitled)</w:t>
      </w:r>
    </w:p>
    <w:p>
      <w:r>
        <w:rPr>
          <w:i/>
          <w:color w:val="888888"/>
        </w:rPr>
        <w:t>[Image placeholder]</w:t>
      </w:r>
    </w:p>
    <w:p>
      <w:pPr>
        <w:pStyle w:val="Heading3"/>
      </w:pPr>
      <w:r>
        <w:rPr>
          <w:sz w:val="24"/>
        </w:rPr>
        <w:t>Slide 36/37: (Untitled)</w:t>
      </w:r>
    </w:p>
    <w:p>
      <w:r>
        <w:rPr>
          <w:i/>
          <w:color w:val="888888"/>
        </w:rPr>
        <w:t>[Image placeholder]</w:t>
      </w:r>
    </w:p>
    <w:p>
      <w:pPr>
        <w:pStyle w:val="Heading3"/>
      </w:pPr>
      <w:r>
        <w:rPr>
          <w:sz w:val="24"/>
        </w:rPr>
        <w:t>Slide 37/37: (Untitled)</w:t>
      </w:r>
    </w:p>
    <w:p>
      <w:r>
        <w:rPr>
          <w:i/>
          <w:color w:val="888888"/>
        </w:rPr>
        <w:t>[Image placeholder]</w:t>
      </w:r>
    </w:p>
    <w:p>
      <w:pPr>
        <w:pStyle w:val="Heading2"/>
      </w:pPr>
      <w:r>
        <w:t>Assignment</w:t>
      </w:r>
    </w:p>
    <w:p>
      <w:r>
        <w:rPr>
          <w:b/>
          <w:color w:val="008800"/>
        </w:rPr>
        <w:t>[Assignment 07]: Sending Invoices</w:t>
      </w:r>
    </w:p>
    <w:p>
      <w:r>
        <w:rPr>
          <w:i/>
          <w:sz w:val="18"/>
        </w:rPr>
        <w:t>File: 07 - Sending Invoices.pdf</w:t>
      </w:r>
    </w:p>
    <w:p/>
    <w:p>
      <w:pPr>
        <w:spacing w:before="240"/>
        <w:jc w:val="center"/>
      </w:pPr>
      <w:r>
        <w:rPr>
          <w:i/>
          <w:color w:val="999999"/>
          <w:sz w:val="16"/>
        </w:rPr>
        <w:t>--- End of Lesson 7: Sending Invoices | 37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