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1A1A1A"/>
          <w:sz w:val="36"/>
        </w:rPr>
        <w:t>Chapter 06: Billing Center Introduction</w:t>
      </w:r>
    </w:p>
    <w:p>
      <w:pPr>
        <w:pStyle w:val="Heading2"/>
      </w:pPr>
      <w:r>
        <w:rPr>
          <w:color w:val="333333"/>
          <w:sz w:val="28"/>
        </w:rPr>
        <w:t>Lesson 11: Managing Direct Bill Payments</w:t>
      </w:r>
    </w:p>
    <w:p>
      <w:pPr>
        <w:spacing w:after="40"/>
      </w:pPr>
      <w:r>
        <w:rPr>
          <w:i/>
          <w:color w:val="999999"/>
          <w:sz w:val="16"/>
        </w:rPr>
        <w:t>Source: Managing Direct Bill Payments.pptx</w:t>
      </w:r>
    </w:p>
    <w:p>
      <w:pPr>
        <w:pStyle w:val="Heading3"/>
      </w:pPr>
      <w:r>
        <w:t>Video References</w:t>
      </w:r>
    </w:p>
    <w:p>
      <w:pPr>
        <w:pStyle w:val="ListNumber"/>
      </w:pPr>
      <w:r>
        <w:rPr>
          <w:color w:val="0066CC"/>
          <w:sz w:val="20"/>
        </w:rPr>
        <w:t>[Video 1: Billing_11_01.mp4]</w:t>
      </w:r>
    </w:p>
    <w:p>
      <w:pPr>
        <w:pStyle w:val="ListNumber"/>
      </w:pPr>
      <w:r>
        <w:rPr>
          <w:color w:val="0066CC"/>
          <w:sz w:val="20"/>
        </w:rPr>
        <w:t>[Video 2: Billing_11_02.mp4]</w:t>
      </w:r>
    </w:p>
    <w:p/>
    <w:p>
      <w:pPr>
        <w:pStyle w:val="Heading2"/>
      </w:pPr>
      <w:r>
        <w:t>Slide Content</w:t>
      </w:r>
    </w:p>
    <w:p>
      <w:pPr>
        <w:pStyle w:val="Heading3"/>
      </w:pPr>
      <w:r>
        <w:rPr>
          <w:sz w:val="24"/>
        </w:rPr>
        <w:t>Slide 1/19: (Untitled)</w:t>
      </w:r>
    </w:p>
    <w:p>
      <w:r>
        <w:rPr>
          <w:i/>
          <w:color w:val="888888"/>
        </w:rPr>
        <w:t>[Image placeholder]</w:t>
      </w:r>
    </w:p>
    <w:p>
      <w:pPr>
        <w:pStyle w:val="Heading3"/>
      </w:pPr>
      <w:r>
        <w:rPr>
          <w:sz w:val="24"/>
        </w:rPr>
        <w:t>Slide 2/19: (Untitled)</w:t>
      </w:r>
    </w:p>
    <w:p>
      <w:r>
        <w:rPr>
          <w:i/>
          <w:color w:val="888888"/>
        </w:rPr>
        <w:t>[Image placeholder]</w:t>
      </w:r>
    </w:p>
    <w:p>
      <w:pPr>
        <w:pStyle w:val="Heading3"/>
      </w:pPr>
      <w:r>
        <w:rPr>
          <w:sz w:val="24"/>
        </w:rPr>
        <w:t>Slide 3/19: (Untitled)</w:t>
      </w:r>
    </w:p>
    <w:p>
      <w:r>
        <w:rPr>
          <w:i/>
          <w:color w:val="888888"/>
        </w:rPr>
        <w:t>[Image placeholder]</w:t>
      </w:r>
    </w:p>
    <w:p>
      <w:pPr>
        <w:pStyle w:val="Heading3"/>
      </w:pPr>
      <w:r>
        <w:rPr>
          <w:sz w:val="24"/>
        </w:rPr>
        <w:t>Slide 4/19: (Untitled)</w:t>
      </w:r>
    </w:p>
    <w:p>
      <w:r>
        <w:rPr>
          <w:i/>
          <w:color w:val="888888"/>
        </w:rPr>
        <w:t>[Image placeholder]</w:t>
      </w:r>
    </w:p>
    <w:p>
      <w:pPr>
        <w:spacing w:before="80" w:after="80"/>
        <w:shd w:fill="E8E8E8" w:val="clear"/>
      </w:pPr>
      <w:r>
        <w:rPr>
          <w:i/>
          <w:color w:val="444444"/>
          <w:sz w:val="18"/>
        </w:rPr>
        <w:t>Speaker Notes: Setting the context</w:t>
        <w:br/>
        <w:t>Marcus wants to know what happens to a suspense payment when the target of the payment becomes known to BillingCenter. Samuel tells him there are twoways to release the money—anautomatic method and a manual one.</w:t>
      </w:r>
    </w:p>
    <w:p>
      <w:pPr>
        <w:pStyle w:val="Heading3"/>
      </w:pPr>
      <w:r>
        <w:rPr>
          <w:sz w:val="24"/>
        </w:rPr>
        <w:t>Slide 5/19: (Untitled)</w:t>
      </w:r>
    </w:p>
    <w:p>
      <w:r>
        <w:rPr>
          <w:i/>
          <w:color w:val="888888"/>
        </w:rPr>
        <w:t>[Image placeholder]</w:t>
      </w:r>
    </w:p>
    <w:p>
      <w:pPr>
        <w:spacing w:before="80" w:after="80"/>
        <w:shd w:fill="E8E8E8" w:val="clear"/>
      </w:pPr>
      <w:r>
        <w:rPr>
          <w:i/>
          <w:color w:val="444444"/>
          <w:sz w:val="18"/>
        </w:rPr>
        <w:t>Speaker Notes: Releasing a suspense payment (I of 2)</w:t>
        <w:br/>
        <w:t>Suspense payments can be moved to the applicable unapplied fund either automatically or manually.</w:t>
        <w:br/>
        <w:br/>
        <w:t>The Suspense Payment batch process is responsible for automatically releasing a suspense payment. When the Suspense Payment batch process runs, it searches for the target of each payment stored in a SuspensePayment unapplied fund. It checks whether the target account, policy, or producer exists. If so, the batch process moves the money from the SuspensePayment unapplied fund to the applicable unapplied fund.</w:t>
        <w:br/>
        <w:br/>
        <w:t>After a suspense payment is placed in the applicable unapplied fund, BillingCenterallocates it in the same way as any other money in an unapplied fund.</w:t>
      </w:r>
    </w:p>
    <w:p>
      <w:pPr>
        <w:pStyle w:val="Heading3"/>
      </w:pPr>
      <w:r>
        <w:rPr>
          <w:sz w:val="24"/>
        </w:rPr>
        <w:t>Slide 6/19: (Untitled)</w:t>
      </w:r>
    </w:p>
    <w:p>
      <w:r>
        <w:rPr>
          <w:i/>
          <w:color w:val="888888"/>
        </w:rPr>
        <w:t>[Image placeholder]</w:t>
      </w:r>
    </w:p>
    <w:p>
      <w:pPr>
        <w:spacing w:before="80" w:after="80"/>
        <w:shd w:fill="E8E8E8" w:val="clear"/>
      </w:pPr>
      <w:r>
        <w:rPr>
          <w:i/>
          <w:color w:val="444444"/>
          <w:sz w:val="18"/>
        </w:rPr>
        <w:t>Speaker Notes: Releasing a suspense payment (2 of 2)</w:t>
        <w:br/>
        <w:t>The Suspense Payments screen on the Desktop lists all payments held in suspense.  When the missing target account,  policy, or producer is added to BillingCenter, you can manually move the relevant suspense payment to the unapplied fund for the target. The target of the highlighted suspense payment in the top screenshot is a policy.</w:t>
        <w:br/>
        <w:br/>
        <w:t>The Apply Suspense Payment popup lets you search for the target. You can also change the target if necessary. Clicking Update releases the suspense payment to the applicable unapplied fund. The suspense payment will no longer be listed on the Suspense Payments screen. To view the released payment in the unapplied fund, go to either the Account Summary or Policy Summary and click the Total Unapplied amount. In the example, a check has been received for a policy but is not yet allocated ("allotted").</w:t>
        <w:br/>
        <w:br/>
        <w:t>The Suspense Payments screen has both Edit and Apply links, which take you to similar popups. Edit allows you to change the suspense paymentamount and add or update a note, whereas Apply does not.</w:t>
        <w:br/>
        <w:br/>
        <w:t>After a suspense payment is placed in the applicable unapplied fund, BillingCenter allocates it in the same way as any other money in an unapplied fund.</w:t>
      </w:r>
    </w:p>
    <w:p>
      <w:pPr>
        <w:pStyle w:val="Heading3"/>
      </w:pPr>
      <w:r>
        <w:rPr>
          <w:sz w:val="24"/>
        </w:rPr>
        <w:t>Slide 7/19: (Untitled)</w:t>
      </w:r>
    </w:p>
    <w:p>
      <w:r>
        <w:rPr>
          <w:i/>
          <w:color w:val="888888"/>
        </w:rPr>
        <w:t>[Image placeholder]</w:t>
      </w:r>
    </w:p>
    <w:p>
      <w:pPr>
        <w:pStyle w:val="Heading3"/>
      </w:pPr>
      <w:r>
        <w:rPr>
          <w:sz w:val="24"/>
        </w:rPr>
        <w:t>Slide 8/19: (Untitled)</w:t>
      </w:r>
    </w:p>
    <w:p>
      <w:pPr>
        <w:pStyle w:val="Heading3"/>
      </w:pPr>
      <w:r>
        <w:rPr>
          <w:sz w:val="24"/>
        </w:rPr>
        <w:t>Slide 9/19: (Untitled)</w:t>
      </w:r>
    </w:p>
    <w:p>
      <w:r>
        <w:rPr>
          <w:i/>
          <w:color w:val="888888"/>
        </w:rPr>
        <w:t>[Image placeholder]</w:t>
      </w:r>
    </w:p>
    <w:p>
      <w:pPr>
        <w:spacing w:before="80" w:after="80"/>
        <w:shd w:fill="E8E8E8" w:val="clear"/>
      </w:pPr>
      <w:r>
        <w:rPr>
          <w:i/>
          <w:color w:val="444444"/>
          <w:sz w:val="18"/>
        </w:rPr>
        <w:t>Speaker Notes: Setting the context</w:t>
        <w:br/>
        <w:t>Marcus would like to know how to fix a mistake when someone has allocated a payment to the wrong account or policy. Zhang comments that the Payments screen provides various actions you can take to fix a payment issue.</w:t>
      </w:r>
    </w:p>
    <w:p>
      <w:pPr>
        <w:pStyle w:val="Heading3"/>
      </w:pPr>
      <w:r>
        <w:rPr>
          <w:sz w:val="24"/>
        </w:rPr>
        <w:t>Slide 10/19: (Untitled)</w:t>
      </w:r>
    </w:p>
    <w:p>
      <w:r>
        <w:rPr>
          <w:i/>
          <w:color w:val="888888"/>
        </w:rPr>
        <w:t>[Image placeholder]</w:t>
      </w:r>
    </w:p>
    <w:p>
      <w:pPr>
        <w:spacing w:before="80" w:after="80"/>
        <w:shd w:fill="E8E8E8" w:val="clear"/>
      </w:pPr>
      <w:r>
        <w:rPr>
          <w:i/>
          <w:color w:val="444444"/>
          <w:sz w:val="18"/>
        </w:rPr>
        <w:t>Speaker Notes: Modifying a payment</w:t>
        <w:br/>
        <w:t>The same set of actions is available from both the Payments screen for the account and the Account Details screen.  The Modify Payment Details action is listed only if the payment has not been allocated. All the other actions are listed for both allocated and unallocated payments.</w:t>
        <w:br/>
        <w:br/>
        <w:t>Here is a brief summary of the payment actions:</w:t>
        <w:br/>
        <w:br/>
        <w:t>Modify Payment Details— modify the payment amount and payment instrument details</w:t>
        <w:br/>
        <w:br/>
        <w:t xml:space="preserve">Modify Distribution—modify both payment details and payment allocation </w:t>
        <w:br/>
        <w:br/>
        <w:t>Reverse- reverse the payment, for example if an account has been closed or a check was returned</w:t>
        <w:br/>
        <w:br/>
        <w:t>Move to Account/Unapplied Fund—move money from one unapplied fund to another</w:t>
        <w:br/>
        <w:br/>
        <w:t>Move To Suspense—move money to a SuspensePayment unapplied fund</w:t>
        <w:br/>
        <w:br/>
        <w:t>Transaction—show the accounting for the payment  (not really an action)</w:t>
        <w:br/>
        <w:br/>
        <w:t>See the BillingCenterApplicatjon Guide for details.</w:t>
      </w:r>
    </w:p>
    <w:p>
      <w:pPr>
        <w:pStyle w:val="Heading3"/>
      </w:pPr>
      <w:r>
        <w:rPr>
          <w:sz w:val="24"/>
        </w:rPr>
        <w:t>Slide 11/19: (Untitled)</w:t>
      </w:r>
    </w:p>
    <w:p>
      <w:r>
        <w:rPr>
          <w:i/>
          <w:color w:val="888888"/>
        </w:rPr>
        <w:t>[Image placeholder]</w:t>
      </w:r>
    </w:p>
    <w:p>
      <w:pPr>
        <w:spacing w:before="80" w:after="80"/>
        <w:shd w:fill="E8E8E8" w:val="clear"/>
      </w:pPr>
      <w:r>
        <w:rPr>
          <w:i/>
          <w:color w:val="444444"/>
          <w:sz w:val="18"/>
        </w:rPr>
        <w:t>Speaker Notes: Modifying a payment allocation</w:t>
        <w:br/>
        <w:t>The screen for modifying a payment should look familiar to you—it is the same as the Direct Bill Payment screen.</w:t>
        <w:br/>
        <w:br/>
        <w:t>To modify the payment allocation so that it includes an invoice item on a different policy (belonging to the same account):</w:t>
        <w:br/>
        <w:br/>
        <w:t>1.Select Actions Modify Distribution from the Actions menu for the payment.</w:t>
        <w:br/>
        <w:br/>
        <w:t>2.In the Modify Payment screen, click Override.</w:t>
        <w:br/>
        <w:br/>
        <w:t>3.If the account uses cash separation (which our example does use), click Add Items.</w:t>
        <w:br/>
        <w:br/>
        <w:t>4.Find and select the item from the target policy.</w:t>
        <w:br/>
        <w:br/>
        <w:t>5.Click Add Selected Items. The added item is indicated with a plus sign on the left.</w:t>
        <w:br/>
        <w:br/>
        <w:t>6.Enter the desired amount in the Override Amount field for the added item.</w:t>
        <w:br/>
        <w:br/>
        <w:t>The highlighted row in the Preview Distribution area of the screen shows the result of the steps listed above.</w:t>
        <w:br/>
        <w:br/>
        <w:t>7. Click Execute to complete the reallocation.</w:t>
      </w:r>
    </w:p>
    <w:p>
      <w:pPr>
        <w:pStyle w:val="Heading3"/>
      </w:pPr>
      <w:r>
        <w:rPr>
          <w:sz w:val="24"/>
        </w:rPr>
        <w:t>Slide 12/19: (Untitled)</w:t>
      </w:r>
    </w:p>
    <w:p>
      <w:r>
        <w:rPr>
          <w:i/>
          <w:color w:val="888888"/>
        </w:rPr>
        <w:t>[Image placeholder]</w:t>
      </w:r>
    </w:p>
    <w:p>
      <w:pPr>
        <w:spacing w:before="80" w:after="80"/>
        <w:shd w:fill="E8E8E8" w:val="clear"/>
      </w:pPr>
      <w:r>
        <w:rPr>
          <w:i/>
          <w:color w:val="444444"/>
          <w:sz w:val="18"/>
        </w:rPr>
        <w:t>Speaker Notes: Moving an incorrectly receipted payment</w:t>
        <w:br/>
        <w:t>In the example, the payment was credited incorrectly to the designated unapplied fund for BOOI-BHAWKLOG. The example shows two different scenarios:</w:t>
        <w:br/>
        <w:br/>
        <w:t>Move Direct Bill Payment example: Suppose the payment was for a different policy belonging to the same account. In this case, you would select Move To Account/Unapplied Fund.  The Move Direct Bill Payment screen allows you to select a different account number and/or unapplied fund. On the same screen, you can specify the payment allocation as you would do for a new policy (the Preview Distribution portion of the screen is not shown in the slide).</w:t>
        <w:br/>
        <w:br/>
        <w:t>Move Payment to Suspense Payment example: Suppose the payment was for an account or policy that BillingCenter does not know about yet. In this case, you would select Move To Suspense. In the Move Payment to Suspense Payment popup, you can select either Account # or Policy # and enter number of the expected account or policy.</w:t>
      </w:r>
    </w:p>
    <w:p>
      <w:pPr>
        <w:pStyle w:val="Heading3"/>
      </w:pPr>
      <w:r>
        <w:rPr>
          <w:sz w:val="24"/>
        </w:rPr>
        <w:t>Slide 13/19: (Untitled)</w:t>
      </w:r>
    </w:p>
    <w:p>
      <w:r>
        <w:rPr>
          <w:i/>
          <w:color w:val="888888"/>
        </w:rPr>
        <w:t>[Image placeholder]</w:t>
      </w:r>
    </w:p>
    <w:p>
      <w:pPr>
        <w:pStyle w:val="Heading3"/>
      </w:pPr>
      <w:r>
        <w:rPr>
          <w:sz w:val="24"/>
        </w:rPr>
        <w:t>Slide 14/19: (Untitled)</w:t>
      </w:r>
    </w:p>
    <w:p>
      <w:pPr>
        <w:pStyle w:val="Heading3"/>
      </w:pPr>
      <w:r>
        <w:rPr>
          <w:sz w:val="24"/>
        </w:rPr>
        <w:t>Slide 15/19: (Untitled)</w:t>
      </w:r>
    </w:p>
    <w:p>
      <w:r>
        <w:rPr>
          <w:i/>
          <w:color w:val="888888"/>
        </w:rPr>
        <w:t>[Image placeholder]</w:t>
      </w:r>
    </w:p>
    <w:p>
      <w:pPr>
        <w:pStyle w:val="Heading3"/>
      </w:pPr>
      <w:r>
        <w:rPr>
          <w:sz w:val="24"/>
        </w:rPr>
        <w:t>Slide 16/19: (Untitled)</w:t>
      </w:r>
    </w:p>
    <w:p>
      <w:r>
        <w:rPr>
          <w:i/>
          <w:color w:val="888888"/>
        </w:rPr>
        <w:t>[Image placeholder]</w:t>
      </w:r>
    </w:p>
    <w:p>
      <w:pPr>
        <w:pStyle w:val="Heading3"/>
      </w:pPr>
      <w:r>
        <w:rPr>
          <w:sz w:val="24"/>
        </w:rPr>
        <w:t>Slide 17/19: (Untitled)</w:t>
      </w:r>
    </w:p>
    <w:p>
      <w:r>
        <w:rPr>
          <w:i/>
          <w:color w:val="888888"/>
        </w:rPr>
        <w:t>[Image placeholder]</w:t>
      </w:r>
    </w:p>
    <w:p>
      <w:pPr>
        <w:pStyle w:val="Heading3"/>
      </w:pPr>
      <w:r>
        <w:rPr>
          <w:sz w:val="24"/>
        </w:rPr>
        <w:t>Slide 18/19: (Untitled)</w:t>
      </w:r>
    </w:p>
    <w:p>
      <w:r>
        <w:rPr>
          <w:i/>
          <w:color w:val="888888"/>
        </w:rPr>
        <w:t>[Image placeholder]</w:t>
      </w:r>
    </w:p>
    <w:p>
      <w:pPr>
        <w:pStyle w:val="Heading3"/>
      </w:pPr>
      <w:r>
        <w:rPr>
          <w:sz w:val="24"/>
        </w:rPr>
        <w:t>Slide 19/19: (Untitled)</w:t>
      </w:r>
    </w:p>
    <w:p>
      <w:r>
        <w:rPr>
          <w:i/>
          <w:color w:val="888888"/>
        </w:rPr>
        <w:t>[Image placeholder]</w:t>
      </w:r>
    </w:p>
    <w:p>
      <w:pPr>
        <w:pStyle w:val="Heading2"/>
      </w:pPr>
      <w:r>
        <w:t>Assignment</w:t>
      </w:r>
    </w:p>
    <w:p>
      <w:r>
        <w:rPr>
          <w:b/>
          <w:color w:val="008800"/>
        </w:rPr>
        <w:t>[Assignment 11]: Managing Direct Bill Payments</w:t>
      </w:r>
    </w:p>
    <w:p>
      <w:r>
        <w:rPr>
          <w:i/>
          <w:sz w:val="18"/>
        </w:rPr>
        <w:t>File: 11 - Managing Direct Bill Payments.pdf</w:t>
      </w:r>
    </w:p>
    <w:p/>
    <w:p>
      <w:pPr>
        <w:spacing w:before="240"/>
        <w:jc w:val="center"/>
      </w:pPr>
      <w:r>
        <w:rPr>
          <w:i/>
          <w:color w:val="999999"/>
          <w:sz w:val="16"/>
        </w:rPr>
        <w:t>--- End of Lesson 11: Managing Direct Bill Payments | 19 slides | 2 videos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