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12: Processing a Delinquency</w:t>
      </w:r>
    </w:p>
    <w:p>
      <w:pPr>
        <w:spacing w:after="40"/>
      </w:pPr>
      <w:r>
        <w:rPr>
          <w:i/>
          <w:color w:val="999999"/>
          <w:sz w:val="16"/>
        </w:rPr>
        <w:t>Source: Processing a Delinquency.pptx</w:t>
      </w:r>
    </w:p>
    <w:p>
      <w:pPr>
        <w:pStyle w:val="Heading3"/>
      </w:pPr>
      <w:r>
        <w:t>Video References</w:t>
      </w:r>
    </w:p>
    <w:p>
      <w:pPr>
        <w:pStyle w:val="ListNumber"/>
      </w:pPr>
      <w:r>
        <w:rPr>
          <w:color w:val="0066CC"/>
          <w:sz w:val="20"/>
        </w:rPr>
        <w:t>[Video 1: Billing_12_01.mp4]</w:t>
      </w:r>
    </w:p>
    <w:p/>
    <w:p>
      <w:pPr>
        <w:pStyle w:val="Heading2"/>
      </w:pPr>
      <w:r>
        <w:t>Slide Content</w:t>
      </w:r>
    </w:p>
    <w:p>
      <w:pPr>
        <w:pStyle w:val="Heading3"/>
      </w:pPr>
      <w:r>
        <w:rPr>
          <w:sz w:val="24"/>
        </w:rPr>
        <w:t>Slide 1/37: (Untitled)</w:t>
      </w:r>
    </w:p>
    <w:p>
      <w:r>
        <w:rPr>
          <w:i/>
          <w:color w:val="888888"/>
        </w:rPr>
        <w:t>[Image placeholder]</w:t>
      </w:r>
    </w:p>
    <w:p>
      <w:pPr>
        <w:pStyle w:val="Heading3"/>
      </w:pPr>
      <w:r>
        <w:rPr>
          <w:sz w:val="24"/>
        </w:rPr>
        <w:t>Slide 2/37: (Untitled)</w:t>
      </w:r>
    </w:p>
    <w:p>
      <w:r>
        <w:rPr>
          <w:i/>
          <w:color w:val="888888"/>
        </w:rPr>
        <w:t>[Image placeholder]</w:t>
      </w:r>
    </w:p>
    <w:p>
      <w:pPr>
        <w:pStyle w:val="Heading3"/>
      </w:pPr>
      <w:r>
        <w:rPr>
          <w:sz w:val="24"/>
        </w:rPr>
        <w:t>Slide 3/37: (Untitled)</w:t>
      </w:r>
    </w:p>
    <w:p>
      <w:r>
        <w:rPr>
          <w:i/>
          <w:color w:val="888888"/>
        </w:rPr>
        <w:t>[Image placeholder]</w:t>
      </w:r>
    </w:p>
    <w:p>
      <w:pPr>
        <w:pStyle w:val="Heading3"/>
      </w:pPr>
      <w:r>
        <w:rPr>
          <w:sz w:val="24"/>
        </w:rPr>
        <w:t>Slide 4/37: (Untitled)</w:t>
      </w:r>
    </w:p>
    <w:p>
      <w:r>
        <w:rPr>
          <w:i/>
          <w:color w:val="888888"/>
        </w:rPr>
        <w:t>[Image placeholder]</w:t>
      </w:r>
    </w:p>
    <w:p>
      <w:pPr>
        <w:spacing w:before="80" w:after="80"/>
        <w:shd w:fill="E8E8E8" w:val="clear"/>
      </w:pPr>
      <w:r>
        <w:rPr>
          <w:i/>
          <w:color w:val="444444"/>
          <w:sz w:val="18"/>
        </w:rPr>
        <w:t>Speaker Notes: Setting the context</w:t>
        <w:br/>
        <w:t>Marcus is interested to know how BillingCenter handles thesituation of an overdue payment. Marci points out that BillingCenterwill automatically initiate  delinquency in this case.</w:t>
      </w:r>
    </w:p>
    <w:p>
      <w:pPr>
        <w:pStyle w:val="Heading3"/>
      </w:pPr>
      <w:r>
        <w:rPr>
          <w:sz w:val="24"/>
        </w:rPr>
        <w:t>Slide 5/37: (Untitled)</w:t>
      </w:r>
    </w:p>
    <w:p>
      <w:r>
        <w:rPr>
          <w:i/>
          <w:color w:val="888888"/>
        </w:rPr>
        <w:t>[Image placeholder]</w:t>
      </w:r>
    </w:p>
    <w:p>
      <w:pPr>
        <w:spacing w:before="80" w:after="80"/>
        <w:shd w:fill="E8E8E8" w:val="clear"/>
      </w:pPr>
      <w:r>
        <w:rPr>
          <w:i/>
          <w:color w:val="444444"/>
          <w:sz w:val="18"/>
        </w:rPr>
        <w:t>Speaker Notes: Delinquency</w:t>
        <w:br/>
        <w:t>When delinquency processing starts, alert bars are shown on the summary screens for the account and policies that are delinquent. Anyone looking at an account or policy immediately knows it is delinquent.</w:t>
        <w:br/>
        <w:t>Delinquencies are also listed on the My Delinquencies screen on the Desktop.</w:t>
        <w:br/>
        <w:br/>
        <w:t>For direct bill policies, the most common delinquencies are Past Due and Not Taken:</w:t>
        <w:br/>
        <w:br/>
        <w:t>A Past Due delinquency occurs one day after an unpaid or partially paid invoice becomes due.</w:t>
        <w:br/>
        <w:br/>
        <w:t>A Not Taken delinquency occurs when the first invoice for a policy has become past due, but no payment has been received. The delinquency typically happens when a policyholder has decided not to take an automatic renewal offer and so has not paid anything on the renewal.</w:t>
        <w:br/>
        <w:br/>
        <w:t>Both the Account Summary and Policy Summary screens have Start Delinquency buttons for initiating a delinquency manually.</w:t>
      </w:r>
    </w:p>
    <w:p>
      <w:pPr>
        <w:pStyle w:val="Heading3"/>
      </w:pPr>
      <w:r>
        <w:rPr>
          <w:sz w:val="24"/>
        </w:rPr>
        <w:t>Slide 6/37: (Untitled)</w:t>
      </w:r>
    </w:p>
    <w:p>
      <w:r>
        <w:rPr>
          <w:i/>
          <w:color w:val="888888"/>
        </w:rPr>
        <w:t>[Image placeholder]</w:t>
      </w:r>
    </w:p>
    <w:p>
      <w:pPr>
        <w:spacing w:before="80" w:after="80"/>
        <w:shd w:fill="E8E8E8" w:val="clear"/>
      </w:pPr>
      <w:r>
        <w:rPr>
          <w:i/>
          <w:color w:val="444444"/>
          <w:sz w:val="18"/>
        </w:rPr>
        <w:t>Speaker Notes: Delinquency handling resources: workflow</w:t>
        <w:br/>
        <w:t>A key resource for implementing delinquency handling is the workflow A workflow is a multistep process designed to manage complex business processes. Workflows are well suited for automating processes such as delinquency handling.</w:t>
        <w:br/>
        <w:br/>
        <w:t>In the slide, workflow ABC has a set of events designed to handle a past due delinquency. Dunning Letter 1 and Late Fee are events that usually occur immediately after delinquency processing starts. The Dunning Letter 1 event initiates the creation of a letter that notifies the insured that the policy is now delinquent.  Dunning letters are produced from integration with a document production system.</w:t>
        <w:br/>
        <w:br/>
        <w:t>A second dunning letter (Dunning Letter 2) is typically sent a week after the first dunning letter is sent. Notice of Intent to cancel typically occurs at least one week after the Dunning Letter 2 event.</w:t>
        <w:br/>
        <w:br/>
        <w:t>Workflow events provide BillingCenter users a way to track the progress of a given delinquency.</w:t>
      </w:r>
    </w:p>
    <w:p>
      <w:pPr>
        <w:pStyle w:val="Heading3"/>
      </w:pPr>
      <w:r>
        <w:rPr>
          <w:sz w:val="24"/>
        </w:rPr>
        <w:t>Slide 7/37: (Untitled)</w:t>
      </w:r>
    </w:p>
    <w:p>
      <w:r>
        <w:rPr>
          <w:i/>
          <w:color w:val="888888"/>
        </w:rPr>
        <w:t>[Image placeholder]</w:t>
      </w:r>
    </w:p>
    <w:p>
      <w:pPr>
        <w:spacing w:before="80" w:after="80"/>
        <w:shd w:fill="E8E8E8" w:val="clear"/>
      </w:pPr>
      <w:r>
        <w:rPr>
          <w:i/>
          <w:color w:val="444444"/>
          <w:sz w:val="18"/>
        </w:rPr>
        <w:t>Speaker Notes: Delinquency handling resources: delinquency plan</w:t>
        <w:br/>
        <w:t>Another key delinquency resource is the delinquency plan.  The delinquency plan is the controlling mechanism behind delinquency handling in BillingCenter.</w:t>
        <w:br/>
        <w:br/>
        <w:t>The delinquency plan controls the workflow to be used for each delinquency reason. The workflow reason identifies the initial event that starts the delinquency process.</w:t>
        <w:br/>
        <w:br/>
        <w:t>In the slide, a past due delinquency will be handled by Workflow ABC. The plan also identifies the workflow events that make up the delinquency process and specifies when they will occur. For example, the first dunning letter may be sent immediately, whereas a second dunning letter may be sent a week later. The delinquency plan also specifies the late fee amount, if a late fee is to be charged.</w:t>
        <w:br/>
        <w:br/>
        <w:t>When an invoice item on a policy period is past due, the delinquency plan on the policy period (if specified) takes precedence over the delinquency plan specified for the account. Delinquency plans and their associated workflows can be configured according to customer requirements. Delinquency plans are discussed in more detail later in this lesson.</w:t>
      </w:r>
    </w:p>
    <w:p>
      <w:pPr>
        <w:pStyle w:val="Heading3"/>
      </w:pPr>
      <w:r>
        <w:rPr>
          <w:sz w:val="24"/>
        </w:rPr>
        <w:t>Slide 8/37: (Untitled)</w:t>
      </w:r>
    </w:p>
    <w:p>
      <w:r>
        <w:rPr>
          <w:i/>
          <w:color w:val="888888"/>
        </w:rPr>
        <w:t>[Image placeholder]</w:t>
      </w:r>
    </w:p>
    <w:p>
      <w:pPr>
        <w:spacing w:before="80" w:after="80"/>
        <w:shd w:fill="E8E8E8" w:val="clear"/>
      </w:pPr>
      <w:r>
        <w:rPr>
          <w:i/>
          <w:color w:val="444444"/>
          <w:sz w:val="18"/>
        </w:rPr>
        <w:t>Speaker Notes: Lifecycle of a past due "standard“ delinquency</w:t>
        <w:br/>
        <w:t>The slide shows the events that are executed by the Standard Delinquency workflow, which is shipped with BillingCenter.  Specifically, the events are:</w:t>
        <w:br/>
        <w:br/>
        <w:t>1.An alert warns of impending delinquency.</w:t>
        <w:br/>
        <w:t>2.Dunning letter 1 is sent</w:t>
        <w:br/>
        <w:t>3.Dunning letter 2 is sent</w:t>
        <w:br/>
        <w:t>4.Notice of intent to cancel is sent to the PAS.</w:t>
        <w:br/>
        <w:t>5.The delinquency is referred to a collection agency.</w:t>
        <w:br/>
        <w:br/>
        <w:t>At any time during delinquency processing, a Past Due delinquency is automatically closed if BillingCenter receives a payment for the overdue amount.</w:t>
      </w:r>
    </w:p>
    <w:p>
      <w:pPr>
        <w:pStyle w:val="Heading3"/>
      </w:pPr>
      <w:r>
        <w:rPr>
          <w:sz w:val="24"/>
        </w:rPr>
        <w:t>Slide 9/37: (Untitled)</w:t>
      </w:r>
    </w:p>
    <w:p>
      <w:r>
        <w:rPr>
          <w:i/>
          <w:color w:val="888888"/>
        </w:rPr>
        <w:t>[Image placeholder]</w:t>
      </w:r>
    </w:p>
    <w:p>
      <w:pPr>
        <w:spacing w:before="80" w:after="80"/>
        <w:shd w:fill="E8E8E8" w:val="clear"/>
      </w:pPr>
      <w:r>
        <w:rPr>
          <w:i/>
          <w:color w:val="444444"/>
          <w:sz w:val="18"/>
        </w:rPr>
        <w:t>Speaker Notes: Moving the delinquency forward</w:t>
        <w:br/>
        <w:t xml:space="preserve">As you probably noticed in the previous slide, many workflow events are date and time driven.  The inception date is the date delinquency processing starts. For a past due delinquency, this is generally the day after an unpaid invoice becomes due. </w:t>
        <w:br/>
        <w:br/>
        <w:t xml:space="preserve">Two batch processes are involved in delinquency handling: </w:t>
        <w:br/>
        <w:br/>
        <w:t xml:space="preserve">The Invoice Due batch process launches a past due delinquency when it detects a past due invoice that is not fully paid.  </w:t>
        <w:br/>
        <w:t xml:space="preserve">The Workflow Writer batch process checks for active workflows that are suspended until a date has been reached or an amount of time has  elapsed. </w:t>
        <w:br/>
        <w:br/>
        <w:t>A workflow generates various activities. An activity is a reminder to perform some actionor a notification that something has happened. An Approval activity blocks workflow processing until an authorized user approves or rejects the activity. In contrast, a Notification activity is simply for information only.</w:t>
      </w:r>
    </w:p>
    <w:p>
      <w:pPr>
        <w:pStyle w:val="Heading3"/>
      </w:pPr>
      <w:r>
        <w:rPr>
          <w:sz w:val="24"/>
        </w:rPr>
        <w:t>Slide 10/37: (Untitled)</w:t>
      </w:r>
    </w:p>
    <w:p>
      <w:r>
        <w:rPr>
          <w:i/>
          <w:color w:val="888888"/>
        </w:rPr>
        <w:t>[Image placeholder]</w:t>
      </w:r>
    </w:p>
    <w:p>
      <w:pPr>
        <w:pStyle w:val="Heading3"/>
      </w:pPr>
      <w:r>
        <w:rPr>
          <w:sz w:val="24"/>
        </w:rPr>
        <w:t>Slide 11/37: (Untitled)</w:t>
      </w:r>
    </w:p>
    <w:p>
      <w:r>
        <w:rPr>
          <w:i/>
          <w:color w:val="888888"/>
        </w:rPr>
        <w:t>[Image placeholder]</w:t>
      </w:r>
    </w:p>
    <w:p>
      <w:pPr>
        <w:spacing w:before="80" w:after="80"/>
        <w:shd w:fill="E8E8E8" w:val="clear"/>
      </w:pPr>
      <w:r>
        <w:rPr>
          <w:i/>
          <w:color w:val="444444"/>
          <w:sz w:val="18"/>
        </w:rPr>
        <w:t>Speaker Notes: Setting the context</w:t>
        <w:br/>
        <w:t>Marcus wants to know how he can test delinquency processing.  Of course, Marci is happy to show him.</w:t>
      </w:r>
    </w:p>
    <w:p>
      <w:pPr>
        <w:pStyle w:val="Heading3"/>
      </w:pPr>
      <w:r>
        <w:rPr>
          <w:sz w:val="24"/>
        </w:rPr>
        <w:t>Slide 12/37: (Untitled)</w:t>
      </w:r>
    </w:p>
    <w:p>
      <w:r>
        <w:rPr>
          <w:i/>
          <w:color w:val="888888"/>
        </w:rPr>
        <w:t>[Image placeholder]</w:t>
      </w:r>
    </w:p>
    <w:p>
      <w:pPr>
        <w:pStyle w:val="Heading3"/>
      </w:pPr>
      <w:r>
        <w:rPr>
          <w:sz w:val="24"/>
        </w:rPr>
        <w:t>Slide 13/37: (Untitled)</w:t>
      </w:r>
    </w:p>
    <w:p>
      <w:pPr>
        <w:pStyle w:val="Heading3"/>
      </w:pPr>
      <w:r>
        <w:rPr>
          <w:sz w:val="24"/>
        </w:rPr>
        <w:t>Slide 14/37: (Untitled)</w:t>
      </w:r>
    </w:p>
    <w:p>
      <w:r>
        <w:rPr>
          <w:i/>
          <w:color w:val="888888"/>
        </w:rPr>
        <w:t>[Image placeholder]</w:t>
      </w:r>
    </w:p>
    <w:p>
      <w:pPr>
        <w:pStyle w:val="Heading3"/>
      </w:pPr>
      <w:r>
        <w:rPr>
          <w:sz w:val="24"/>
        </w:rPr>
        <w:t>Slide 15/37: (Untitled)</w:t>
      </w:r>
    </w:p>
    <w:p>
      <w:r>
        <w:rPr>
          <w:i/>
          <w:color w:val="888888"/>
        </w:rPr>
        <w:t>[Image placeholder]</w:t>
      </w:r>
    </w:p>
    <w:p>
      <w:pPr>
        <w:pStyle w:val="Heading3"/>
      </w:pPr>
      <w:r>
        <w:rPr>
          <w:sz w:val="24"/>
        </w:rPr>
        <w:t>Slide 16/37: (Untitled)</w:t>
      </w:r>
    </w:p>
    <w:p>
      <w:r>
        <w:rPr>
          <w:i/>
          <w:color w:val="888888"/>
        </w:rPr>
        <w:t>[Image placeholder]</w:t>
      </w:r>
    </w:p>
    <w:p>
      <w:pPr>
        <w:pStyle w:val="Heading3"/>
      </w:pPr>
      <w:r>
        <w:rPr>
          <w:sz w:val="24"/>
        </w:rPr>
        <w:t>Slide 17/37: (Untitled)</w:t>
      </w:r>
    </w:p>
    <w:p>
      <w:r>
        <w:rPr>
          <w:i/>
          <w:color w:val="888888"/>
        </w:rPr>
        <w:t>[Image placeholder]</w:t>
      </w:r>
    </w:p>
    <w:p>
      <w:pPr>
        <w:pStyle w:val="Heading3"/>
      </w:pPr>
      <w:r>
        <w:rPr>
          <w:sz w:val="24"/>
        </w:rPr>
        <w:t>Slide 18/37: (Untitled)</w:t>
      </w:r>
    </w:p>
    <w:p>
      <w:r>
        <w:rPr>
          <w:i/>
          <w:color w:val="888888"/>
        </w:rPr>
        <w:t>[Image placeholder]</w:t>
      </w:r>
    </w:p>
    <w:p>
      <w:pPr>
        <w:pStyle w:val="Heading3"/>
      </w:pPr>
      <w:r>
        <w:rPr>
          <w:sz w:val="24"/>
        </w:rPr>
        <w:t>Slide 19/37: (Untitled)</w:t>
      </w:r>
    </w:p>
    <w:p>
      <w:r>
        <w:rPr>
          <w:i/>
          <w:color w:val="888888"/>
        </w:rPr>
        <w:t>[Image placeholder]</w:t>
      </w:r>
    </w:p>
    <w:p>
      <w:pPr>
        <w:pStyle w:val="Heading3"/>
      </w:pPr>
      <w:r>
        <w:rPr>
          <w:sz w:val="24"/>
        </w:rPr>
        <w:t>Slide 20/37: (Untitled)</w:t>
      </w:r>
    </w:p>
    <w:p>
      <w:r>
        <w:rPr>
          <w:i/>
          <w:color w:val="888888"/>
        </w:rPr>
        <w:t>[Image placeholder]</w:t>
      </w:r>
    </w:p>
    <w:p>
      <w:pPr>
        <w:pStyle w:val="Heading3"/>
      </w:pPr>
      <w:r>
        <w:rPr>
          <w:sz w:val="24"/>
        </w:rPr>
        <w:t>Slide 21/37: (Untitled)</w:t>
      </w:r>
    </w:p>
    <w:p>
      <w:r>
        <w:rPr>
          <w:i/>
          <w:color w:val="888888"/>
        </w:rPr>
        <w:t>[Image placeholder]</w:t>
      </w:r>
    </w:p>
    <w:p>
      <w:pPr>
        <w:pStyle w:val="Heading3"/>
      </w:pPr>
      <w:r>
        <w:rPr>
          <w:sz w:val="24"/>
        </w:rPr>
        <w:t>Slide 22/37: (Untitled)</w:t>
      </w:r>
    </w:p>
    <w:p>
      <w:r>
        <w:rPr>
          <w:i/>
          <w:color w:val="888888"/>
        </w:rPr>
        <w:t>[Image placeholder]</w:t>
      </w:r>
    </w:p>
    <w:p>
      <w:pPr>
        <w:pStyle w:val="Heading3"/>
      </w:pPr>
      <w:r>
        <w:rPr>
          <w:sz w:val="24"/>
        </w:rPr>
        <w:t>Slide 23/37: (Untitled)</w:t>
      </w:r>
    </w:p>
    <w:p>
      <w:r>
        <w:rPr>
          <w:i/>
          <w:color w:val="888888"/>
        </w:rPr>
        <w:t>[Image placeholder]</w:t>
      </w:r>
    </w:p>
    <w:p>
      <w:pPr>
        <w:pStyle w:val="Heading3"/>
      </w:pPr>
      <w:r>
        <w:rPr>
          <w:sz w:val="24"/>
        </w:rPr>
        <w:t>Slide 24/37: (Untitled)</w:t>
      </w:r>
    </w:p>
    <w:p>
      <w:r>
        <w:rPr>
          <w:i/>
          <w:color w:val="888888"/>
        </w:rPr>
        <w:t>[Image placeholder]</w:t>
      </w:r>
    </w:p>
    <w:p>
      <w:pPr>
        <w:spacing w:before="80" w:after="80"/>
        <w:shd w:fill="E8E8E8" w:val="clear"/>
      </w:pPr>
      <w:r>
        <w:rPr>
          <w:i/>
          <w:color w:val="444444"/>
          <w:sz w:val="18"/>
        </w:rPr>
        <w:t>Speaker Notes: Quick review of a delinquency: invoice due date</w:t>
        <w:br/>
        <w:t xml:space="preserve">This slide and the next several slides provide a walk-through of a past due delinquency similar to the demo you have just seen. These are provided for review— you (or your instructor) may choose to skip these slides.  </w:t>
        <w:br/>
        <w:br/>
        <w:t>These screenshots are of a delinquency being handled by the StdDelinquency workflow, which is shipped with BillingCenter.</w:t>
        <w:br/>
        <w:br/>
        <w:t>The due date for the current invoice is today. A payment is expected but has not been received. An alert on the Policy Summary warns that the policy will become delinquency if the expected payment is not received by the current date.</w:t>
      </w:r>
    </w:p>
    <w:p>
      <w:pPr>
        <w:pStyle w:val="Heading3"/>
      </w:pPr>
      <w:r>
        <w:rPr>
          <w:sz w:val="24"/>
        </w:rPr>
        <w:t>Slide 25/37: (Untitled)</w:t>
      </w:r>
    </w:p>
    <w:p>
      <w:r>
        <w:rPr>
          <w:i/>
          <w:color w:val="888888"/>
        </w:rPr>
        <w:t>[Image placeholder]</w:t>
      </w:r>
    </w:p>
    <w:p>
      <w:pPr>
        <w:spacing w:before="80" w:after="80"/>
        <w:shd w:fill="E8E8E8" w:val="clear"/>
      </w:pPr>
      <w:r>
        <w:rPr>
          <w:i/>
          <w:color w:val="444444"/>
          <w:sz w:val="18"/>
        </w:rPr>
        <w:t>Speaker Notes: Quick review: invoice due date + 1</w:t>
        <w:br/>
        <w:t xml:space="preserve">It is now one day past the due date and no payment has been received. An alert warns that the policy has one or more active Past Due delinquencies. A similar alert is displayed on the Account Summary (not shown). </w:t>
        <w:br/>
        <w:br/>
        <w:t>Clicking the alert bar takes you directly to the delinquency details.</w:t>
        <w:br/>
        <w:br/>
        <w:t>The Policy Summary also shows the past due amount and the late fee of $50.</w:t>
      </w:r>
    </w:p>
    <w:p>
      <w:pPr>
        <w:pStyle w:val="Heading3"/>
      </w:pPr>
      <w:r>
        <w:rPr>
          <w:sz w:val="24"/>
        </w:rPr>
        <w:t>Slide 26/37: (Untitled)</w:t>
      </w:r>
    </w:p>
    <w:p>
      <w:r>
        <w:rPr>
          <w:i/>
          <w:color w:val="888888"/>
        </w:rPr>
        <w:t>[Image placeholder]</w:t>
      </w:r>
    </w:p>
    <w:p>
      <w:pPr>
        <w:spacing w:before="80" w:after="80"/>
        <w:shd w:fill="E8E8E8" w:val="clear"/>
      </w:pPr>
      <w:r>
        <w:rPr>
          <w:i/>
          <w:color w:val="444444"/>
          <w:sz w:val="18"/>
        </w:rPr>
        <w:t>Speaker Notes: Quick review: same day, Delinquencies screen</w:t>
        <w:br/>
        <w:t>The Delinquencies screen for the policy shows that the status of the delinquency is Open and the delinquency reason is Past Due.</w:t>
        <w:br/>
        <w:br/>
        <w:t>The Events area of the screen lists the workflow events that you can use to track delinquency processing. Two events have completed: Dunning Letter 1 and Late Fee. The next event is Dunning Letter 2, which causes a second dunning letter to be sent to the delinquent policyholder.</w:t>
        <w:br/>
        <w:br/>
        <w:t>Inception Date refers to the start date of the delinquency. In the example, this is one day after the due date of the unpaid invoice.</w:t>
      </w:r>
    </w:p>
    <w:p>
      <w:pPr>
        <w:pStyle w:val="Heading3"/>
      </w:pPr>
      <w:r>
        <w:rPr>
          <w:sz w:val="24"/>
        </w:rPr>
        <w:t>Slide 27/37: (Untitled)</w:t>
      </w:r>
    </w:p>
    <w:p>
      <w:r>
        <w:rPr>
          <w:i/>
          <w:color w:val="888888"/>
        </w:rPr>
        <w:t>[Image placeholder]</w:t>
      </w:r>
    </w:p>
    <w:p>
      <w:pPr>
        <w:spacing w:before="80" w:after="80"/>
        <w:shd w:fill="E8E8E8" w:val="clear"/>
      </w:pPr>
      <w:r>
        <w:rPr>
          <w:i/>
          <w:color w:val="444444"/>
          <w:sz w:val="18"/>
        </w:rPr>
        <w:t>Speaker Notes: Quick review: same day, late fee charged</w:t>
        <w:br/>
        <w:t>The policy's Charges screen shows the late fee charge.</w:t>
      </w:r>
    </w:p>
    <w:p>
      <w:pPr>
        <w:pStyle w:val="Heading3"/>
      </w:pPr>
      <w:r>
        <w:rPr>
          <w:sz w:val="24"/>
        </w:rPr>
        <w:t>Slide 28/37: (Untitled)</w:t>
      </w:r>
    </w:p>
    <w:p>
      <w:r>
        <w:rPr>
          <w:i/>
          <w:color w:val="888888"/>
        </w:rPr>
        <w:t>[Image placeholder]</w:t>
      </w:r>
    </w:p>
    <w:p>
      <w:pPr>
        <w:spacing w:before="80" w:after="80"/>
        <w:shd w:fill="E8E8E8" w:val="clear"/>
      </w:pPr>
      <w:r>
        <w:rPr>
          <w:i/>
          <w:color w:val="444444"/>
          <w:sz w:val="18"/>
        </w:rPr>
        <w:t>Speaker Notes: Quick review: invoice due date + 8</w:t>
        <w:br/>
        <w:t>One week after the delinquency started, the Policy Summary screen indicates that the Past Due delinquency is active. The payment is still past due. The late fee is also shown on the screen.</w:t>
      </w:r>
    </w:p>
    <w:p>
      <w:pPr>
        <w:pStyle w:val="Heading3"/>
      </w:pPr>
      <w:r>
        <w:rPr>
          <w:sz w:val="24"/>
        </w:rPr>
        <w:t>Slide 29/37: (Untitled)</w:t>
      </w:r>
    </w:p>
    <w:p>
      <w:r>
        <w:rPr>
          <w:i/>
          <w:color w:val="888888"/>
        </w:rPr>
        <w:t>[Image placeholder]</w:t>
      </w:r>
    </w:p>
    <w:p>
      <w:pPr>
        <w:spacing w:before="80" w:after="80"/>
        <w:shd w:fill="E8E8E8" w:val="clear"/>
      </w:pPr>
      <w:r>
        <w:rPr>
          <w:i/>
          <w:color w:val="444444"/>
          <w:sz w:val="18"/>
        </w:rPr>
        <w:t>Speaker Notes: Quick review: same day, Delinquencies screen</w:t>
        <w:br/>
        <w:t>The Delinquency screen for the policy shows that the Dunning Letter 2 event has completed.</w:t>
        <w:br/>
        <w:br/>
        <w:t>Also, ONO activities have been created and are listed in the Activities area of the screen:</w:t>
        <w:br/>
        <w:t xml:space="preserve">The Approve Cancellation activity is an Approval activity that is mandatory. A billing manager or other authorized person must approve the cancellation before the Send Notice of Intent To Cancel workflow event can proceed. </w:t>
        <w:br/>
        <w:t>The Sent Dunning Letter is a General activity that requires no approval. It is simply informational.</w:t>
        <w:br/>
        <w:br/>
        <w:t>Business rules can be configured to control who is assigned the activities. The notification may be sent to a user with day-to-day responsibilities for accounts whereas the cancellation approval is typically sent to a supervisor.</w:t>
        <w:br/>
        <w:br/>
        <w:t>Until this point, no manual intervention is required because the delinquency process has been progressing automatically.</w:t>
      </w:r>
    </w:p>
    <w:p>
      <w:pPr>
        <w:pStyle w:val="Heading3"/>
      </w:pPr>
      <w:r>
        <w:rPr>
          <w:sz w:val="24"/>
        </w:rPr>
        <w:t>Slide 30/37: (Untitled)</w:t>
      </w:r>
    </w:p>
    <w:p>
      <w:r>
        <w:rPr>
          <w:i/>
          <w:color w:val="888888"/>
        </w:rPr>
        <w:t>[Image placeholder]</w:t>
      </w:r>
    </w:p>
    <w:p>
      <w:pPr>
        <w:spacing w:before="80" w:after="80"/>
        <w:shd w:fill="E8E8E8" w:val="clear"/>
      </w:pPr>
      <w:r>
        <w:rPr>
          <w:i/>
          <w:color w:val="444444"/>
          <w:sz w:val="18"/>
        </w:rPr>
        <w:t>Speaker Notes: Quick review: same day, approve cancellation</w:t>
        <w:br/>
        <w:t>The next workflow event is to send the notice of cancellation. This will not occur until an authorized BillingCenter user approves the cancellation.</w:t>
        <w:br/>
        <w:br/>
        <w:t>The Approve Cancellation activity row has a detail link. Clicking the link opens the activity (2). In the slide, a user has clicked the Approve button (2). The activity is now approved.</w:t>
        <w:br/>
        <w:br/>
        <w:t>If the activity is not completed by the cancellation notice date, it is escalated (business rules can be configured to determine the action to be taken when the approval activity is escalated).</w:t>
      </w:r>
    </w:p>
    <w:p>
      <w:pPr>
        <w:pStyle w:val="Heading3"/>
      </w:pPr>
      <w:r>
        <w:rPr>
          <w:sz w:val="24"/>
        </w:rPr>
        <w:t>Slide 31/37: (Untitled)</w:t>
      </w:r>
    </w:p>
    <w:p>
      <w:r>
        <w:rPr>
          <w:i/>
          <w:color w:val="888888"/>
        </w:rPr>
        <w:t>[Image placeholder]</w:t>
      </w:r>
    </w:p>
    <w:p>
      <w:pPr>
        <w:spacing w:before="80" w:after="80"/>
        <w:shd w:fill="E8E8E8" w:val="clear"/>
      </w:pPr>
      <w:r>
        <w:rPr>
          <w:i/>
          <w:color w:val="444444"/>
          <w:sz w:val="18"/>
        </w:rPr>
        <w:t>Speaker Notes: Quick review: one week later</w:t>
        <w:br/>
        <w:t>It is one week later. The Send Notice of Intent To Cancel event has completed.</w:t>
        <w:br/>
        <w:br/>
        <w:t>When the Notice of Cancellation is sent out, an information activity is created to keep the BillingCenter user informed about the progress of the delinquency.  This activity does not require approval.</w:t>
        <w:br/>
        <w:br/>
        <w:t>The cancel status of the policy or policies is also set to Pending Cancellation in BillingCenter  (integration is required to send this cancellation request to the PAS), and the pending cancellation status is logged in the policy history (based on configuration).</w:t>
      </w:r>
    </w:p>
    <w:p>
      <w:pPr>
        <w:pStyle w:val="Heading3"/>
      </w:pPr>
      <w:r>
        <w:rPr>
          <w:sz w:val="24"/>
        </w:rPr>
        <w:t>Slide 32/37: (Untitled)</w:t>
      </w:r>
    </w:p>
    <w:p>
      <w:r>
        <w:rPr>
          <w:i/>
          <w:color w:val="888888"/>
        </w:rPr>
        <w:t>[Image placeholder]</w:t>
      </w:r>
    </w:p>
    <w:p>
      <w:pPr>
        <w:spacing w:before="80" w:after="80"/>
        <w:shd w:fill="E8E8E8" w:val="clear"/>
      </w:pPr>
      <w:r>
        <w:rPr>
          <w:i/>
          <w:color w:val="444444"/>
          <w:sz w:val="18"/>
        </w:rPr>
        <w:t>Speaker Notes: Quick review: policy pending cancellation</w:t>
        <w:br/>
        <w:t>The Send Notice of Intent to Cancel event has just been executed. The Policy Summary screen shows the policy is still in delinquency, but the Cancellation Status has changed to Pending Cancellation. The delinquency process cannot directly cancel the policy. Instead, BillingCenter sends notification to the policy administration system to initiate the cancellation. The policy administration system does the actual cancellation and then sends the cancellation amount to BillingCenter. At that point, BillingCenter either bills the insured for the balance owed or disburses the refund.</w:t>
        <w:br/>
        <w:br/>
        <w:t>The Send Notice of Intent to Cancel event in the StdDelinquency workflow requires configuration and integration with a policy administration system. StdDelinquency workflow also includes Collection, Writeoff,  and Rescind/Reinstate events  (refer to the screenshot on the previous slide). However, these workflow steps are simply placeholders. The logic to implement any of these events requires configuration (and integration in the case of the Collection event).</w:t>
        <w:br/>
        <w:br/>
        <w:t>Workflow logic determines the point at which the delinquency status changes to Closed and the workflow execution stops.</w:t>
      </w:r>
    </w:p>
    <w:p>
      <w:pPr>
        <w:pStyle w:val="Heading3"/>
      </w:pPr>
      <w:r>
        <w:rPr>
          <w:sz w:val="24"/>
        </w:rPr>
        <w:t>Slide 33/37: (Untitled)</w:t>
      </w:r>
    </w:p>
    <w:p>
      <w:r>
        <w:rPr>
          <w:i/>
          <w:color w:val="888888"/>
        </w:rPr>
        <w:t>[Image placeholder]</w:t>
      </w:r>
    </w:p>
    <w:p>
      <w:pPr>
        <w:spacing w:before="80" w:after="80"/>
        <w:shd w:fill="E8E8E8" w:val="clear"/>
      </w:pPr>
      <w:r>
        <w:rPr>
          <w:i/>
          <w:color w:val="444444"/>
          <w:sz w:val="18"/>
        </w:rPr>
        <w:t>Speaker Notes: Setting the context</w:t>
        <w:br/>
        <w:t>Marcus realizes that delinquency plans are key to delinquency handling. He asks Marci to tell him about delinquency plans.  Marci points out that a delinquency plan is the link between a billing issue such as an overdue invoice and the logic to handle the issue.</w:t>
      </w:r>
    </w:p>
    <w:p>
      <w:pPr>
        <w:pStyle w:val="Heading3"/>
      </w:pPr>
      <w:r>
        <w:rPr>
          <w:sz w:val="24"/>
        </w:rPr>
        <w:t>Slide 34/37: (Untitled)</w:t>
      </w:r>
    </w:p>
    <w:p>
      <w:r>
        <w:rPr>
          <w:i/>
          <w:color w:val="888888"/>
        </w:rPr>
        <w:t>[Image placeholder]</w:t>
      </w:r>
    </w:p>
    <w:p>
      <w:pPr>
        <w:spacing w:before="80" w:after="80"/>
        <w:shd w:fill="E8E8E8" w:val="clear"/>
      </w:pPr>
      <w:r>
        <w:rPr>
          <w:i/>
          <w:color w:val="444444"/>
          <w:sz w:val="18"/>
        </w:rPr>
        <w:t>Speaker Notes: Delinquency plan: General tab</w:t>
        <w:br/>
        <w:t>A delinquency plan has two tabs: General and Workflow.</w:t>
        <w:br/>
        <w:br/>
        <w:t>The General tab is where you specify settings that apply to all delinquencies handled by this delinquency plan. In the example,  a late fee amount is specified. If the workflow handling the delinquency has a late fee event,  a $50 charge of the specified amount will be added to the policy.</w:t>
        <w:br/>
        <w:br/>
        <w:t>Grace Period Days specifies the number of days allowed to pass before a delinquency is initiated.  If the setting is 0, the delinquency is initiated immediately (as shown in the demo). The date the delinquency is initiated is referred to as the inception date.</w:t>
        <w:br/>
        <w:br/>
        <w:t>Settings in the Amount Thresholds fields specify values BillingCenter will use to handle Past Due amounts. For details,  see the BillingCenter Application Guide.</w:t>
      </w:r>
    </w:p>
    <w:p>
      <w:pPr>
        <w:pStyle w:val="Heading3"/>
      </w:pPr>
      <w:r>
        <w:rPr>
          <w:sz w:val="24"/>
        </w:rPr>
        <w:t>Slide 35/37: (Untitled)</w:t>
      </w:r>
    </w:p>
    <w:p>
      <w:r>
        <w:rPr>
          <w:i/>
          <w:color w:val="888888"/>
        </w:rPr>
        <w:t>[Image placeholder]</w:t>
      </w:r>
    </w:p>
    <w:p>
      <w:pPr>
        <w:spacing w:before="80" w:after="80"/>
        <w:shd w:fill="E8E8E8" w:val="clear"/>
      </w:pPr>
      <w:r>
        <w:rPr>
          <w:i/>
          <w:color w:val="444444"/>
          <w:sz w:val="18"/>
        </w:rPr>
        <w:t>Speaker Notes: Delinquency plan: Workflow tab</w:t>
        <w:br/>
        <w:t>The Workflow tab specifies one or more reasons that will initiate delinquency processing. A delinquency workflow is associated with each delinquency reason. The delinquency plan in the slide supports ONO reasons: Past Due and Not Taken. Past Due is currently selected. Its associated workflow is Standard Delinquency. The Not Taken reason is associated with the Cancel Immediately workflow.</w:t>
        <w:br/>
        <w:br/>
        <w:t>The set of events listed at the bottom of the screen belong to the workflow specified in the currently selected row, The slide shows the events that belong to the Standard Delinquency workflow The timing of each event is specified relative to a trigger date ("Inception Date" is the date when the delinquency is activated after the grace period, if any, has elapsed).</w:t>
        <w:br/>
        <w:br/>
        <w:t>The Cancel Immediately workflow, which is associated with the Not Taken delinquency reason, has a different set of events than the Standard Delinquency workflow.</w:t>
      </w:r>
    </w:p>
    <w:p>
      <w:pPr>
        <w:pStyle w:val="Heading3"/>
      </w:pPr>
      <w:r>
        <w:rPr>
          <w:sz w:val="24"/>
        </w:rPr>
        <w:t>Slide 36/37: (Untitled)</w:t>
      </w:r>
    </w:p>
    <w:p>
      <w:r>
        <w:rPr>
          <w:i/>
          <w:color w:val="888888"/>
        </w:rPr>
        <w:t>[Image placeholder]</w:t>
      </w:r>
    </w:p>
    <w:p>
      <w:pPr>
        <w:pStyle w:val="Heading3"/>
      </w:pPr>
      <w:r>
        <w:rPr>
          <w:sz w:val="24"/>
        </w:rPr>
        <w:t>Slide 37/37: (Untitled)</w:t>
      </w:r>
    </w:p>
    <w:p>
      <w:r>
        <w:rPr>
          <w:i/>
          <w:color w:val="888888"/>
        </w:rPr>
        <w:t>[Image placeholder]</w:t>
      </w:r>
    </w:p>
    <w:p>
      <w:pPr>
        <w:pStyle w:val="Heading2"/>
      </w:pPr>
      <w:r>
        <w:t>Assignment</w:t>
      </w:r>
    </w:p>
    <w:p>
      <w:r>
        <w:rPr>
          <w:b/>
          <w:color w:val="008800"/>
        </w:rPr>
        <w:t>[Assignment 12]: Processing a Delinquency</w:t>
      </w:r>
    </w:p>
    <w:p>
      <w:r>
        <w:rPr>
          <w:i/>
          <w:sz w:val="18"/>
        </w:rPr>
        <w:t>File: 12 - Processing a Delinquency.pdf</w:t>
      </w:r>
    </w:p>
    <w:p/>
    <w:p>
      <w:pPr>
        <w:spacing w:before="240"/>
        <w:jc w:val="center"/>
      </w:pPr>
      <w:r>
        <w:rPr>
          <w:i/>
          <w:color w:val="999999"/>
          <w:sz w:val="16"/>
        </w:rPr>
        <w:t>--- End of Lesson 12: Processing a Delinquency | 37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