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13: Using Trouble Tickets to Resolve Issues</w:t>
      </w:r>
    </w:p>
    <w:p>
      <w:pPr>
        <w:spacing w:after="40"/>
      </w:pPr>
      <w:r>
        <w:rPr>
          <w:i/>
          <w:color w:val="999999"/>
          <w:sz w:val="16"/>
        </w:rPr>
        <w:t>Source: Using Trouble Tickets to Resolve Issues.pptx</w:t>
      </w:r>
    </w:p>
    <w:p>
      <w:pPr>
        <w:pStyle w:val="Heading3"/>
      </w:pPr>
      <w:r>
        <w:t>Video References</w:t>
      </w:r>
    </w:p>
    <w:p>
      <w:pPr>
        <w:pStyle w:val="ListNumber"/>
      </w:pPr>
      <w:r>
        <w:rPr>
          <w:color w:val="0066CC"/>
          <w:sz w:val="20"/>
        </w:rPr>
        <w:t>[Video 1: Billing_13_01.mp4]</w:t>
      </w:r>
    </w:p>
    <w:p>
      <w:pPr>
        <w:pStyle w:val="ListNumber"/>
      </w:pPr>
      <w:r>
        <w:rPr>
          <w:color w:val="0066CC"/>
          <w:sz w:val="20"/>
        </w:rPr>
        <w:t>[Video 2: Billing_13_02.mp4]</w:t>
      </w:r>
    </w:p>
    <w:p/>
    <w:p>
      <w:pPr>
        <w:pStyle w:val="Heading2"/>
      </w:pPr>
      <w:r>
        <w:t>Slide Content</w:t>
      </w:r>
    </w:p>
    <w:p>
      <w:pPr>
        <w:pStyle w:val="Heading3"/>
      </w:pPr>
      <w:r>
        <w:rPr>
          <w:sz w:val="24"/>
        </w:rPr>
        <w:t>Slide 1/29: (Untitled)</w:t>
      </w:r>
    </w:p>
    <w:p>
      <w:r>
        <w:rPr>
          <w:i/>
          <w:color w:val="888888"/>
        </w:rPr>
        <w:t>[Image placeholder]</w:t>
      </w:r>
    </w:p>
    <w:p>
      <w:pPr>
        <w:pStyle w:val="Heading3"/>
      </w:pPr>
      <w:r>
        <w:rPr>
          <w:sz w:val="24"/>
        </w:rPr>
        <w:t>Slide 2/29: (Untitled)</w:t>
      </w:r>
    </w:p>
    <w:p>
      <w:r>
        <w:rPr>
          <w:i/>
          <w:color w:val="888888"/>
        </w:rPr>
        <w:t>[Image placeholder]</w:t>
      </w:r>
    </w:p>
    <w:p>
      <w:pPr>
        <w:pStyle w:val="Heading3"/>
      </w:pPr>
      <w:r>
        <w:rPr>
          <w:sz w:val="24"/>
        </w:rPr>
        <w:t>Slide 3/29: (Untitled)</w:t>
      </w:r>
    </w:p>
    <w:p>
      <w:r>
        <w:rPr>
          <w:i/>
          <w:color w:val="888888"/>
        </w:rPr>
        <w:t>[Image placeholder]</w:t>
      </w:r>
    </w:p>
    <w:p>
      <w:pPr>
        <w:pStyle w:val="Heading3"/>
      </w:pPr>
      <w:r>
        <w:rPr>
          <w:sz w:val="24"/>
        </w:rPr>
        <w:t>Slide 4/29: (Untitled)</w:t>
      </w:r>
    </w:p>
    <w:p>
      <w:r>
        <w:rPr>
          <w:i/>
          <w:color w:val="888888"/>
        </w:rPr>
        <w:t>[Image placeholder]</w:t>
      </w:r>
    </w:p>
    <w:p>
      <w:pPr>
        <w:spacing w:before="80" w:after="80"/>
        <w:shd w:fill="E8E8E8" w:val="clear"/>
      </w:pPr>
      <w:r>
        <w:rPr>
          <w:i/>
          <w:color w:val="444444"/>
          <w:sz w:val="18"/>
        </w:rPr>
        <w:t>Speaker Notes: Setting the context</w:t>
        <w:br/>
        <w:t>Marcus knows that delinquencies are best avoided if possible. He asks Zhang if there is a way to resolve an issue before delinquency occurs. For example,  a policyholder could phone Succeed Insurance to say his or her payment will be late. Zhang explains that the CSR can create a trouble ticket that places a hold on delinquency processing.</w:t>
      </w:r>
    </w:p>
    <w:p>
      <w:pPr>
        <w:pStyle w:val="Heading3"/>
      </w:pPr>
      <w:r>
        <w:rPr>
          <w:sz w:val="24"/>
        </w:rPr>
        <w:t>Slide 5/29: (Untitled)</w:t>
      </w:r>
    </w:p>
    <w:p>
      <w:r>
        <w:rPr>
          <w:i/>
          <w:color w:val="888888"/>
        </w:rPr>
        <w:t>[Image placeholder]</w:t>
      </w:r>
    </w:p>
    <w:p>
      <w:pPr>
        <w:spacing w:before="80" w:after="80"/>
        <w:shd w:fill="E8E8E8" w:val="clear"/>
      </w:pPr>
      <w:r>
        <w:rPr>
          <w:i/>
          <w:color w:val="444444"/>
          <w:sz w:val="18"/>
        </w:rPr>
        <w:t>Speaker Notes: Trouble tickets</w:t>
        <w:br/>
        <w:t>Trouble tickets and trouble ticket holds are BillingCenter tools that help billing personnel track and resolve issues. They provide central management for tracking problems related to accounts,  policies, and producers. Often, a trouble ticket is created in response to a customer inquiry.</w:t>
        <w:br/>
        <w:br/>
        <w:t>The most powerful feature of trouble tickets is the ability to suspend automatic processing by means of trouble ticket holds. A trouble ticket hold can be applied to delinquency, invoice sending, commission earning, commission payments, payment allocation, and disbursements.</w:t>
        <w:br/>
        <w:br/>
        <w:t>You can specify a due date and escalation date for a trouble ticket. These dates help users prioritize and manage trouble tickets. When the escalation date is reached and a batch process is run, an icon appears next to the trouble ticket link in the Trouble Tickets screen to flag the trouble ticket as escalated.</w:t>
        <w:br/>
        <w:br/>
        <w:t>A user can create a trouble ticket at any time. In the base application, trouble tickets are not created automatically. However, a developer can write Gosu rules to create trouble tickets automatically when an exception event occurs.</w:t>
      </w:r>
    </w:p>
    <w:p>
      <w:pPr>
        <w:pStyle w:val="Heading3"/>
      </w:pPr>
      <w:r>
        <w:rPr>
          <w:sz w:val="24"/>
        </w:rPr>
        <w:t>Slide 6/29: (Untitled)</w:t>
      </w:r>
    </w:p>
    <w:p>
      <w:r>
        <w:rPr>
          <w:i/>
          <w:color w:val="888888"/>
        </w:rPr>
        <w:t>[Image placeholder]</w:t>
      </w:r>
    </w:p>
    <w:p>
      <w:pPr>
        <w:spacing w:before="80" w:after="80"/>
        <w:shd w:fill="E8E8E8" w:val="clear"/>
      </w:pPr>
      <w:r>
        <w:rPr>
          <w:i/>
          <w:color w:val="444444"/>
          <w:sz w:val="18"/>
        </w:rPr>
        <w:t>Speaker Notes: A trouble ticket has an owner and related entities</w:t>
        <w:br/>
        <w:t>You can create a trouble ticket from the Account, Policy, and Producer tabs. Alternatively, youcan create a trouble ticket from your Desktop.</w:t>
        <w:br/>
        <w:br/>
        <w:t xml:space="preserve">The trouble ticket is automatically associated with the current account, policy, and policy period  (if created from the Account or Policy tab) or producer (if created from the Producer tab). You can include additional entities when you create or update the trouble ticket. Step 2 of the New Trouble Ticket wizard allows you to add and remove accounts, policies, policy periods, and producers to/from the set of related entities.  If an entity is associated with an open trouble ticket, a trouble ticket alert is displayed on the summary screen for that entity. </w:t>
        <w:br/>
        <w:br/>
        <w:t>The trouble ticket is always assigned to a single user who is responsible for bringing the issue to a resolution. However, typically multiple parties monitor the trouble ticket and can be assigned tasks (through activities) to support trouble ticket resolution.</w:t>
      </w:r>
    </w:p>
    <w:p>
      <w:pPr>
        <w:pStyle w:val="Heading3"/>
      </w:pPr>
      <w:r>
        <w:rPr>
          <w:sz w:val="24"/>
        </w:rPr>
        <w:t>Slide 7/29: (Untitled)</w:t>
      </w:r>
    </w:p>
    <w:p>
      <w:r>
        <w:rPr>
          <w:i/>
          <w:color w:val="888888"/>
        </w:rPr>
        <w:t>[Image placeholder]</w:t>
      </w:r>
    </w:p>
    <w:p>
      <w:pPr>
        <w:spacing w:before="80" w:after="80"/>
        <w:shd w:fill="E8E8E8" w:val="clear"/>
      </w:pPr>
      <w:r>
        <w:rPr>
          <w:i/>
          <w:color w:val="444444"/>
          <w:sz w:val="18"/>
        </w:rPr>
        <w:t>Speaker Notes: Trouble ticket holds</w:t>
        <w:br/>
        <w:t>A hold is the method BillingCenter provides for stopping an automated process while an account or policy is in dispute. When you create a trouble ticket, you can select one or more hold types. Depending on the type, the hold can affect an account, a producer, and/or a policy or policy period. A trouble ticket hold is always tied to an existing trouble ticket and cannot exist on its own.</w:t>
        <w:br/>
        <w:br/>
        <w:t>The hold is released automatically at the time the trouble ticket is closed. If a trouble ticket hold has a release date, it will be released automatically when the release date is reached.</w:t>
        <w:br/>
        <w:br/>
        <w:t>If a hold is placed on delinquency:</w:t>
        <w:br/>
        <w:br/>
        <w:t xml:space="preserve">The hold prevents any delinquency being initiated on the set of related entities.  </w:t>
        <w:br/>
        <w:t>The hold suspends all processing of existing delinquencies that involve the set of related entities. After the trouble ticket is closed, the delinquency process resumes from the same place in the process where it was stopped.  Event target dates are automatically adjusted as necessary.</w:t>
        <w:br/>
        <w:br/>
        <w:t>Note: Do not confuse a trouble ticket hold with a charge hold,  which is associated with a particular charge. See the BillingCenter Application Guide for details.</w:t>
      </w:r>
    </w:p>
    <w:p>
      <w:pPr>
        <w:pStyle w:val="Heading3"/>
      </w:pPr>
      <w:r>
        <w:rPr>
          <w:sz w:val="24"/>
        </w:rPr>
        <w:t>Slide 8/29: (Untitled)</w:t>
      </w:r>
    </w:p>
    <w:p>
      <w:r>
        <w:rPr>
          <w:i/>
          <w:color w:val="888888"/>
        </w:rPr>
        <w:t>[Image placeholder]</w:t>
      </w:r>
    </w:p>
    <w:p>
      <w:pPr>
        <w:pStyle w:val="Heading3"/>
      </w:pPr>
      <w:r>
        <w:rPr>
          <w:sz w:val="24"/>
        </w:rPr>
        <w:t>Slide 9/29: (Untitled)</w:t>
      </w:r>
    </w:p>
    <w:p>
      <w:r>
        <w:rPr>
          <w:i/>
          <w:color w:val="888888"/>
        </w:rPr>
        <w:t>[Image placeholder]</w:t>
      </w:r>
    </w:p>
    <w:p>
      <w:pPr>
        <w:spacing w:before="80" w:after="80"/>
        <w:shd w:fill="E8E8E8" w:val="clear"/>
      </w:pPr>
      <w:r>
        <w:rPr>
          <w:i/>
          <w:color w:val="444444"/>
          <w:sz w:val="18"/>
        </w:rPr>
        <w:t>Speaker Notes: Setting the context</w:t>
        <w:br/>
        <w:t>Ashley, a policyholder, explains to Zhang that she received an overdue notice while waiting for Succeed Insurance to send her an adjusted bill. Zhang offers to put a hold on billing until the issue is resolved.</w:t>
      </w:r>
    </w:p>
    <w:p>
      <w:pPr>
        <w:pStyle w:val="Heading3"/>
      </w:pPr>
      <w:r>
        <w:rPr>
          <w:sz w:val="24"/>
        </w:rPr>
        <w:t>Slide 10/29: (Untitled)</w:t>
      </w:r>
    </w:p>
    <w:p>
      <w:r>
        <w:rPr>
          <w:i/>
          <w:color w:val="888888"/>
        </w:rPr>
        <w:t>[Image placeholder]</w:t>
      </w:r>
    </w:p>
    <w:p>
      <w:pPr>
        <w:pStyle w:val="Heading3"/>
      </w:pPr>
      <w:r>
        <w:rPr>
          <w:sz w:val="24"/>
        </w:rPr>
        <w:t>Slide 11/29: (Untitled)</w:t>
      </w:r>
    </w:p>
    <w:p>
      <w:pPr>
        <w:pStyle w:val="Heading3"/>
      </w:pPr>
      <w:r>
        <w:rPr>
          <w:sz w:val="24"/>
        </w:rPr>
        <w:t>Slide 12/29: (Untitled)</w:t>
      </w:r>
    </w:p>
    <w:p>
      <w:r>
        <w:rPr>
          <w:i/>
          <w:color w:val="888888"/>
        </w:rPr>
        <w:t>[Image placeholder]</w:t>
      </w:r>
    </w:p>
    <w:p>
      <w:pPr>
        <w:spacing w:before="80" w:after="80"/>
        <w:shd w:fill="E8E8E8" w:val="clear"/>
      </w:pPr>
      <w:r>
        <w:rPr>
          <w:i/>
          <w:color w:val="444444"/>
          <w:sz w:val="18"/>
        </w:rPr>
        <w:t>Speaker Notes: Maintaining a trouble ticket</w:t>
        <w:br/>
        <w:t>An open trouble ticket can be edited at any time. Edits include adding or removing related entities, transactions, and holds. Typically, during the lifetime of a trouble ticket, notes and activities are added as needed. Notes are useful for documenting the progress of the trouble ticket issue. Activities provide the means of involving others in the resolution of the issue.</w:t>
        <w:br/>
        <w:br/>
        <w:t>After a trouble ticket is closed, it cannot be edited or reopened.</w:t>
      </w:r>
    </w:p>
    <w:p>
      <w:pPr>
        <w:pStyle w:val="Heading3"/>
      </w:pPr>
      <w:r>
        <w:rPr>
          <w:sz w:val="24"/>
        </w:rPr>
        <w:t>Slide 13/29: (Untitled)</w:t>
      </w:r>
    </w:p>
    <w:p>
      <w:r>
        <w:rPr>
          <w:i/>
          <w:color w:val="888888"/>
        </w:rPr>
        <w:t>[Image placeholder]</w:t>
      </w:r>
    </w:p>
    <w:p>
      <w:pPr>
        <w:spacing w:before="80" w:after="80"/>
        <w:shd w:fill="E8E8E8" w:val="clear"/>
      </w:pPr>
      <w:r>
        <w:rPr>
          <w:i/>
          <w:color w:val="444444"/>
          <w:sz w:val="18"/>
        </w:rPr>
        <w:t>Speaker Notes: An activity is a reminder to do something</w:t>
        <w:br/>
        <w:t>Activities provide a way to split a trouble ticket into assignable tasks. You can think of an activity as a reminder to do something.</w:t>
        <w:br/>
        <w:br/>
        <w:t>You can assign a new activity to a specific user or allow automated assignment, which assigns activities based on the rules configured within Guidewire Studio. For example, a business rule can automatically assign an activity to the owner of the trouble ticket.</w:t>
        <w:br/>
        <w:br/>
        <w:t>If you create a shared activity, it appears on the desktops of every user in the group so that any user can update it</w:t>
        <w:br/>
        <w:br/>
        <w:t>Users can view activities on the My Activities screen on the Desktop tab. When an open activity reaches its due date, the activity's due date is highlighted in red on the My Activities screen. When an activity is escalated, an escalation icon is placed next to the activity. Escalation rules can be configured that create additional activities (such as sending an email when the escalation date is reached for an incomplete activity).</w:t>
        <w:br/>
        <w:br/>
        <w:t>Closing a trouble ticket changes the status of all open associated activities to Complete.</w:t>
      </w:r>
    </w:p>
    <w:p>
      <w:pPr>
        <w:pStyle w:val="Heading3"/>
      </w:pPr>
      <w:r>
        <w:rPr>
          <w:sz w:val="24"/>
        </w:rPr>
        <w:t>Slide 14/29: (Untitled)</w:t>
      </w:r>
    </w:p>
    <w:p>
      <w:r>
        <w:rPr>
          <w:i/>
          <w:color w:val="888888"/>
        </w:rPr>
        <w:t>[Image placeholder]</w:t>
      </w:r>
    </w:p>
    <w:p>
      <w:pPr>
        <w:spacing w:before="80" w:after="80"/>
        <w:shd w:fill="E8E8E8" w:val="clear"/>
      </w:pPr>
      <w:r>
        <w:rPr>
          <w:i/>
          <w:color w:val="444444"/>
          <w:sz w:val="18"/>
        </w:rPr>
        <w:t>Speaker Notes: Setting the context</w:t>
        <w:br/>
        <w:t>Ashley is pleased that her issue has been resolved. However, she would like the late fee to be removed. Zhang will make that change.</w:t>
      </w:r>
    </w:p>
    <w:p>
      <w:pPr>
        <w:pStyle w:val="Heading3"/>
      </w:pPr>
      <w:r>
        <w:rPr>
          <w:sz w:val="24"/>
        </w:rPr>
        <w:t>Slide 15/29: (Untitled)</w:t>
      </w:r>
    </w:p>
    <w:p>
      <w:r>
        <w:rPr>
          <w:i/>
          <w:color w:val="888888"/>
        </w:rPr>
        <w:t>[Image placeholder]</w:t>
      </w:r>
    </w:p>
    <w:p>
      <w:pPr>
        <w:pStyle w:val="Heading3"/>
      </w:pPr>
      <w:r>
        <w:rPr>
          <w:sz w:val="24"/>
        </w:rPr>
        <w:t>Slide 16/29: (Untitled)</w:t>
      </w:r>
    </w:p>
    <w:p>
      <w:pPr>
        <w:pStyle w:val="Heading3"/>
      </w:pPr>
      <w:r>
        <w:rPr>
          <w:sz w:val="24"/>
        </w:rPr>
        <w:t>Slide 17/29: (Untitled)</w:t>
      </w:r>
    </w:p>
    <w:p>
      <w:r>
        <w:rPr>
          <w:i/>
          <w:color w:val="888888"/>
        </w:rPr>
        <w:t>[Image placeholder]</w:t>
      </w:r>
    </w:p>
    <w:p>
      <w:pPr>
        <w:pStyle w:val="Heading3"/>
      </w:pPr>
      <w:r>
        <w:rPr>
          <w:sz w:val="24"/>
        </w:rPr>
        <w:t>Slide 18/29: (Untitled)</w:t>
      </w:r>
    </w:p>
    <w:p>
      <w:r>
        <w:rPr>
          <w:i/>
          <w:color w:val="888888"/>
        </w:rPr>
        <w:t>[Image placeholder]</w:t>
      </w:r>
    </w:p>
    <w:p>
      <w:pPr>
        <w:pStyle w:val="Heading3"/>
      </w:pPr>
      <w:r>
        <w:rPr>
          <w:sz w:val="24"/>
        </w:rPr>
        <w:t>Slide 19/29: (Untitled)</w:t>
      </w:r>
    </w:p>
    <w:p>
      <w:r>
        <w:rPr>
          <w:i/>
          <w:color w:val="888888"/>
        </w:rPr>
        <w:t>[Image placeholder]</w:t>
      </w:r>
    </w:p>
    <w:p>
      <w:pPr>
        <w:pStyle w:val="Heading3"/>
      </w:pPr>
      <w:r>
        <w:rPr>
          <w:sz w:val="24"/>
        </w:rPr>
        <w:t>Slide 20/29: (Untitled)</w:t>
      </w:r>
    </w:p>
    <w:p>
      <w:r>
        <w:rPr>
          <w:i/>
          <w:color w:val="888888"/>
        </w:rPr>
        <w:t>[Image placeholder]</w:t>
      </w:r>
    </w:p>
    <w:p>
      <w:pPr>
        <w:pStyle w:val="Heading3"/>
      </w:pPr>
      <w:r>
        <w:rPr>
          <w:sz w:val="24"/>
        </w:rPr>
        <w:t>Slide 21/29: (Untitled)</w:t>
      </w:r>
    </w:p>
    <w:p>
      <w:r>
        <w:rPr>
          <w:i/>
          <w:color w:val="888888"/>
        </w:rPr>
        <w:t>[Image placeholder]</w:t>
      </w:r>
    </w:p>
    <w:p>
      <w:pPr>
        <w:pStyle w:val="Heading3"/>
      </w:pPr>
      <w:r>
        <w:rPr>
          <w:sz w:val="24"/>
        </w:rPr>
        <w:t>Slide 22/29: (Untitled)</w:t>
      </w:r>
    </w:p>
    <w:p>
      <w:r>
        <w:rPr>
          <w:i/>
          <w:color w:val="888888"/>
        </w:rPr>
        <w:t>[Image placeholder]</w:t>
      </w:r>
    </w:p>
    <w:p>
      <w:pPr>
        <w:pStyle w:val="Heading3"/>
      </w:pPr>
      <w:r>
        <w:rPr>
          <w:sz w:val="24"/>
        </w:rPr>
        <w:t>Slide 23/29: (Untitled)</w:t>
      </w:r>
    </w:p>
    <w:p>
      <w:r>
        <w:rPr>
          <w:i/>
          <w:color w:val="888888"/>
        </w:rPr>
        <w:t>[Image placeholder]</w:t>
      </w:r>
    </w:p>
    <w:p>
      <w:pPr>
        <w:pStyle w:val="Heading3"/>
      </w:pPr>
      <w:r>
        <w:rPr>
          <w:sz w:val="24"/>
        </w:rPr>
        <w:t>Slide 24/29: (Untitled)</w:t>
      </w:r>
    </w:p>
    <w:p>
      <w:r>
        <w:rPr>
          <w:i/>
          <w:color w:val="888888"/>
        </w:rPr>
        <w:t>[Image placeholder]</w:t>
      </w:r>
    </w:p>
    <w:p>
      <w:pPr>
        <w:pStyle w:val="Heading3"/>
      </w:pPr>
      <w:r>
        <w:rPr>
          <w:sz w:val="24"/>
        </w:rPr>
        <w:t>Slide 25/29: (Untitled)</w:t>
      </w:r>
    </w:p>
    <w:p>
      <w:r>
        <w:rPr>
          <w:i/>
          <w:color w:val="888888"/>
        </w:rPr>
        <w:t>[Image placeholder]</w:t>
      </w:r>
    </w:p>
    <w:p>
      <w:pPr>
        <w:pStyle w:val="Heading3"/>
      </w:pPr>
      <w:r>
        <w:rPr>
          <w:sz w:val="24"/>
        </w:rPr>
        <w:t>Slide 26/29: (Untitled)</w:t>
      </w:r>
    </w:p>
    <w:p>
      <w:r>
        <w:rPr>
          <w:i/>
          <w:color w:val="888888"/>
        </w:rPr>
        <w:t>[Image placeholder]</w:t>
      </w:r>
    </w:p>
    <w:p>
      <w:pPr>
        <w:pStyle w:val="Heading3"/>
      </w:pPr>
      <w:r>
        <w:rPr>
          <w:sz w:val="24"/>
        </w:rPr>
        <w:t>Slide 27/29: (Untitled)</w:t>
      </w:r>
    </w:p>
    <w:p>
      <w:r>
        <w:rPr>
          <w:i/>
          <w:color w:val="888888"/>
        </w:rPr>
        <w:t>[Image placeholder]</w:t>
      </w:r>
    </w:p>
    <w:p>
      <w:pPr>
        <w:pStyle w:val="Heading3"/>
      </w:pPr>
      <w:r>
        <w:rPr>
          <w:sz w:val="24"/>
        </w:rPr>
        <w:t>Slide 28/29: (Untitled)</w:t>
      </w:r>
    </w:p>
    <w:p>
      <w:r>
        <w:rPr>
          <w:i/>
          <w:color w:val="888888"/>
        </w:rPr>
        <w:t>[Image placeholder]</w:t>
      </w:r>
    </w:p>
    <w:p>
      <w:pPr>
        <w:pStyle w:val="Heading3"/>
      </w:pPr>
      <w:r>
        <w:rPr>
          <w:sz w:val="24"/>
        </w:rPr>
        <w:t>Slide 29/29: (Untitled)</w:t>
      </w:r>
    </w:p>
    <w:p>
      <w:r>
        <w:rPr>
          <w:i/>
          <w:color w:val="888888"/>
        </w:rPr>
        <w:t>[Image placeholder]</w:t>
      </w:r>
    </w:p>
    <w:p>
      <w:pPr>
        <w:pStyle w:val="Heading2"/>
      </w:pPr>
      <w:r>
        <w:t>Assignment</w:t>
      </w:r>
    </w:p>
    <w:p>
      <w:r>
        <w:rPr>
          <w:b/>
          <w:color w:val="008800"/>
        </w:rPr>
        <w:t>[Assignment 13]: Using Trouble Tickets to Resolve Issues</w:t>
      </w:r>
    </w:p>
    <w:p>
      <w:r>
        <w:rPr>
          <w:i/>
          <w:sz w:val="18"/>
        </w:rPr>
        <w:t>File: 13 - Using Trouble Tickets to Resolve Issues.pdf</w:t>
      </w:r>
    </w:p>
    <w:p/>
    <w:p>
      <w:pPr>
        <w:spacing w:before="240"/>
        <w:jc w:val="center"/>
      </w:pPr>
      <w:r>
        <w:rPr>
          <w:i/>
          <w:color w:val="999999"/>
          <w:sz w:val="16"/>
        </w:rPr>
        <w:t>--- End of Lesson 13: Using Trouble Tickets to Resolve Issues | 29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