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14: Managing Producers and Commissions</w:t>
      </w:r>
    </w:p>
    <w:p>
      <w:pPr>
        <w:spacing w:after="40"/>
      </w:pPr>
      <w:r>
        <w:rPr>
          <w:i/>
          <w:color w:val="999999"/>
          <w:sz w:val="16"/>
        </w:rPr>
        <w:t>Source: Managing Producers and Commissions.pptx</w:t>
      </w:r>
    </w:p>
    <w:p>
      <w:pPr>
        <w:pStyle w:val="Heading3"/>
      </w:pPr>
      <w:r>
        <w:t>Video References</w:t>
      </w:r>
    </w:p>
    <w:p>
      <w:pPr>
        <w:pStyle w:val="ListNumber"/>
      </w:pPr>
      <w:r>
        <w:rPr>
          <w:color w:val="0066CC"/>
          <w:sz w:val="20"/>
        </w:rPr>
        <w:t>[Video 1: Billing_14_01.mp4]</w:t>
      </w:r>
    </w:p>
    <w:p>
      <w:pPr>
        <w:pStyle w:val="ListNumber"/>
      </w:pPr>
      <w:r>
        <w:rPr>
          <w:color w:val="0066CC"/>
          <w:sz w:val="20"/>
        </w:rPr>
        <w:t>[Video 2: Billing_14_02.mp4]</w:t>
      </w:r>
    </w:p>
    <w:p>
      <w:pPr>
        <w:pStyle w:val="ListNumber"/>
      </w:pPr>
      <w:r>
        <w:rPr>
          <w:color w:val="0066CC"/>
          <w:sz w:val="20"/>
        </w:rPr>
        <w:t>[Video 3: Billing_14_03.mp4]</w:t>
      </w:r>
    </w:p>
    <w:p/>
    <w:p>
      <w:pPr>
        <w:pStyle w:val="Heading2"/>
      </w:pPr>
      <w:r>
        <w:t>Slide Content</w:t>
      </w:r>
    </w:p>
    <w:p>
      <w:pPr>
        <w:pStyle w:val="Heading3"/>
      </w:pPr>
      <w:r>
        <w:rPr>
          <w:sz w:val="24"/>
        </w:rPr>
        <w:t>Slide 1/42: (Untitled)</w:t>
      </w:r>
    </w:p>
    <w:p>
      <w:r>
        <w:rPr>
          <w:i/>
          <w:color w:val="888888"/>
        </w:rPr>
        <w:t>[Image placeholder]</w:t>
      </w:r>
    </w:p>
    <w:p>
      <w:pPr>
        <w:pStyle w:val="Heading3"/>
      </w:pPr>
      <w:r>
        <w:rPr>
          <w:sz w:val="24"/>
        </w:rPr>
        <w:t>Slide 2/42: (Untitled)</w:t>
      </w:r>
    </w:p>
    <w:p>
      <w:r>
        <w:rPr>
          <w:i/>
          <w:color w:val="888888"/>
        </w:rPr>
        <w:t>[Image placeholder]</w:t>
      </w:r>
    </w:p>
    <w:p>
      <w:pPr>
        <w:pStyle w:val="Heading3"/>
      </w:pPr>
      <w:r>
        <w:rPr>
          <w:sz w:val="24"/>
        </w:rPr>
        <w:t>Slide 3/42: (Untitled)</w:t>
      </w:r>
    </w:p>
    <w:p>
      <w:r>
        <w:rPr>
          <w:i/>
          <w:color w:val="888888"/>
        </w:rPr>
        <w:t>[Image placeholder]</w:t>
      </w:r>
    </w:p>
    <w:p>
      <w:pPr>
        <w:pStyle w:val="Heading3"/>
      </w:pPr>
      <w:r>
        <w:rPr>
          <w:sz w:val="24"/>
        </w:rPr>
        <w:t>Slide 4/42: (Untitled)</w:t>
      </w:r>
    </w:p>
    <w:p>
      <w:r>
        <w:rPr>
          <w:i/>
          <w:color w:val="888888"/>
        </w:rPr>
        <w:t>[Image placeholder]</w:t>
      </w:r>
    </w:p>
    <w:p>
      <w:pPr>
        <w:spacing w:before="80" w:after="80"/>
        <w:shd w:fill="E8E8E8" w:val="clear"/>
      </w:pPr>
      <w:r>
        <w:rPr>
          <w:i/>
          <w:color w:val="444444"/>
          <w:sz w:val="18"/>
        </w:rPr>
        <w:t>Speaker Notes: Tracking commissions</w:t>
        <w:br/>
        <w:t>Marcus is interested to know how BillingCenter tracks commissions.  Marci offers to show him how BillingCenter manages the entire process of calculating and paying commissions to producers.</w:t>
      </w:r>
    </w:p>
    <w:p>
      <w:pPr>
        <w:pStyle w:val="Heading3"/>
      </w:pPr>
      <w:r>
        <w:rPr>
          <w:sz w:val="24"/>
        </w:rPr>
        <w:t>Slide 5/42: (Untitled)</w:t>
      </w:r>
    </w:p>
    <w:p>
      <w:r>
        <w:rPr>
          <w:i/>
          <w:color w:val="888888"/>
        </w:rPr>
        <w:t>[Image placeholder]</w:t>
      </w:r>
    </w:p>
    <w:p>
      <w:pPr>
        <w:spacing w:before="80" w:after="80"/>
        <w:shd w:fill="E8E8E8" w:val="clear"/>
      </w:pPr>
      <w:r>
        <w:rPr>
          <w:i/>
          <w:color w:val="444444"/>
          <w:sz w:val="18"/>
        </w:rPr>
        <w:t>Speaker Notes: Commission lifecycle (I of 3)</w:t>
        <w:br/>
        <w:t>When BillingCenter receives a billing request from the PAS, it first constructs a billing instruction. If the billing instruction is for a commissionable charge such as</w:t>
        <w:br/>
        <w:t>Premium and the policy has an associated producer, BillingCenter calculates how much commission the producer will earn over the lifetime of the policy. The calculated amount is set aside as commission reserve.</w:t>
      </w:r>
    </w:p>
    <w:p>
      <w:pPr>
        <w:pStyle w:val="Heading3"/>
      </w:pPr>
      <w:r>
        <w:rPr>
          <w:sz w:val="24"/>
        </w:rPr>
        <w:t>Slide 6/42: (Untitled)</w:t>
      </w:r>
    </w:p>
    <w:p>
      <w:r>
        <w:rPr>
          <w:i/>
          <w:color w:val="888888"/>
        </w:rPr>
        <w:t>[Image placeholder]</w:t>
      </w:r>
    </w:p>
    <w:p>
      <w:pPr>
        <w:spacing w:before="80" w:after="80"/>
        <w:shd w:fill="E8E8E8" w:val="clear"/>
      </w:pPr>
      <w:r>
        <w:rPr>
          <w:i/>
          <w:color w:val="444444"/>
          <w:sz w:val="18"/>
        </w:rPr>
        <w:t>Speaker Notes: Commission lifecycle (2 of 3)</w:t>
        <w:br/>
        <w:t>Over time, the commission is earned. Settings on a commission plan determine what event will trigger commission earning.</w:t>
        <w:br/>
        <w:br/>
        <w:t>Possible commission eaming events include:</w:t>
        <w:br/>
        <w:br/>
        <w:t>Policy is bound</w:t>
        <w:br/>
        <w:t>First payment is received</w:t>
        <w:br/>
        <w:t>An invoice is billed</w:t>
        <w:br/>
        <w:t>A payment is received</w:t>
        <w:br/>
        <w:t>An invoice is fully paid</w:t>
        <w:br/>
        <w:t>The effective date of a policy is reached</w:t>
        <w:br/>
        <w:t>The expiration date of a policy is reached</w:t>
        <w:br/>
        <w:br/>
        <w:t>Billing Center also allows you to define a custom commission earning event through configuratiom</w:t>
      </w:r>
    </w:p>
    <w:p>
      <w:pPr>
        <w:pStyle w:val="Heading3"/>
      </w:pPr>
      <w:r>
        <w:rPr>
          <w:sz w:val="24"/>
        </w:rPr>
        <w:t>Slide 7/42: (Untitled)</w:t>
      </w:r>
    </w:p>
    <w:p>
      <w:r>
        <w:rPr>
          <w:i/>
          <w:color w:val="888888"/>
        </w:rPr>
        <w:t>[Image placeholder]</w:t>
      </w:r>
    </w:p>
    <w:p>
      <w:pPr>
        <w:spacing w:before="80" w:after="80"/>
        <w:shd w:fill="E8E8E8" w:val="clear"/>
      </w:pPr>
      <w:r>
        <w:rPr>
          <w:i/>
          <w:color w:val="444444"/>
          <w:sz w:val="18"/>
        </w:rPr>
        <w:t>Speaker Notes: Commission lifecycle (3 of 3)</w:t>
        <w:br/>
        <w:t>Every producer has a commission day of month. When that date is reached and a batch process is run, the commission that has been earned is paid to the producer</w:t>
      </w:r>
    </w:p>
    <w:p>
      <w:pPr>
        <w:pStyle w:val="Heading3"/>
      </w:pPr>
      <w:r>
        <w:rPr>
          <w:sz w:val="24"/>
        </w:rPr>
        <w:t>Slide 8/42: (Untitled)</w:t>
      </w:r>
    </w:p>
    <w:p>
      <w:r>
        <w:rPr>
          <w:i/>
          <w:color w:val="888888"/>
        </w:rPr>
        <w:t>[Image placeholder]</w:t>
      </w:r>
    </w:p>
    <w:p>
      <w:pPr>
        <w:spacing w:before="80" w:after="80"/>
        <w:shd w:fill="E8E8E8" w:val="clear"/>
      </w:pPr>
      <w:r>
        <w:rPr>
          <w:i/>
          <w:color w:val="444444"/>
          <w:sz w:val="18"/>
        </w:rPr>
        <w:t>Speaker Notes: Commission plan controls earning part of lifecycle</w:t>
        <w:br/>
        <w:t>Commission plans determine the amounts of commission to pay producers for policy business they provide. In BillingCenter,  policy business refers to the selling of a new policy or the renewal of an existing policy.</w:t>
        <w:br/>
        <w:br/>
        <w:t>A commission plan specifies the types of charges that are commissionable and determines the rate of commission paid to a producer (or producers) for selling or renewing a policy. The commission plan also specifies what triggers commission earning  (that is, event or date that causes a producer to earn commission).</w:t>
      </w:r>
    </w:p>
    <w:p>
      <w:pPr>
        <w:pStyle w:val="Heading3"/>
      </w:pPr>
      <w:r>
        <w:rPr>
          <w:sz w:val="24"/>
        </w:rPr>
        <w:t>Slide 9/42: (Untitled)</w:t>
      </w:r>
    </w:p>
    <w:p>
      <w:r>
        <w:rPr>
          <w:i/>
          <w:color w:val="888888"/>
        </w:rPr>
        <w:t>[Image placeholder]</w:t>
      </w:r>
    </w:p>
    <w:p>
      <w:pPr>
        <w:spacing w:before="80" w:after="80"/>
        <w:shd w:fill="E8E8E8" w:val="clear"/>
      </w:pPr>
      <w:r>
        <w:rPr>
          <w:i/>
          <w:color w:val="444444"/>
          <w:sz w:val="18"/>
        </w:rPr>
        <w:t>Speaker Notes: Producer code links policy to a commission plan</w:t>
        <w:br/>
        <w:t>A producer has one or more unique producer codes. The producer code serves as the link between the policy and the commission plan.</w:t>
        <w:br/>
        <w:br/>
        <w:t>Each producer code is associated with a single commission plan. The producer code is also used to associate a producer with a policy. BillingCenter determines the producer's rate of commission from the commission plan associated with the producer code on the policy.</w:t>
        <w:br/>
        <w:br/>
        <w:t>Typically, the system of record for producer codes is an external producer management system.</w:t>
      </w:r>
    </w:p>
    <w:p>
      <w:pPr>
        <w:pStyle w:val="Heading3"/>
      </w:pPr>
      <w:r>
        <w:rPr>
          <w:sz w:val="24"/>
        </w:rPr>
        <w:t>Slide 10/42: (Untitled)</w:t>
      </w:r>
    </w:p>
    <w:p>
      <w:r>
        <w:rPr>
          <w:i/>
          <w:color w:val="888888"/>
        </w:rPr>
        <w:t>[Image placeholder]</w:t>
      </w:r>
    </w:p>
    <w:p>
      <w:pPr>
        <w:spacing w:before="80" w:after="80"/>
        <w:shd w:fill="E8E8E8" w:val="clear"/>
      </w:pPr>
      <w:r>
        <w:rPr>
          <w:i/>
          <w:color w:val="444444"/>
          <w:sz w:val="18"/>
        </w:rPr>
        <w:t>Speaker Notes: Commission plan example</w:t>
        <w:br/>
        <w:t>In the slide, Producer Y is a gold tier producer. His producer code of 001 is associated with the CP03 commission plan- Producer Y is the primary producer for Policy A.</w:t>
        <w:br/>
        <w:br/>
        <w:t>CP03 is an example of a commission plan- The plan has a name, an effective date, an expiration date, and a currency- A producer tier is used to signify the level of business the producer generates- The commission plan has an Allowed Tiers section that restricts the use of the commission plan to producers with the specified tier or tiers.</w:t>
        <w:br/>
        <w:br/>
        <w:t xml:space="preserve">A policy can have multiple producers, each earning a different commission rate.  Sometimes the same producer has more than one role on a policy. In the base configuration of BillingCenter, there are three possible roles for a producer on a policy: Primary, Secondary, and Referrer- The commission plan allows you to specify different rates for the three producer roles- The commission for each role is tracked separately. </w:t>
        <w:br/>
        <w:br/>
        <w:t xml:space="preserve">In this course, we assume a policy has only one producer,  the Primary producer.  </w:t>
        <w:br/>
        <w:br/>
        <w:t>The Earn Commissions field under Payable Criteria controls when commission is earned. Commission can be earned on a specific date, such as the charge effective date, or when a condition or event occurs. In the example, commission is earned every time an invoice with a commissionable item is billed. Other examples of payable criteria are On Bind, which means that all commission is earned when the policy is bound, and On Payment Received, which means that commission is earned as payments are received for commissionable items.</w:t>
      </w:r>
    </w:p>
    <w:p>
      <w:pPr>
        <w:pStyle w:val="Heading3"/>
      </w:pPr>
      <w:r>
        <w:rPr>
          <w:sz w:val="24"/>
        </w:rPr>
        <w:t>Slide 11/42: (Untitled)</w:t>
      </w:r>
    </w:p>
    <w:p>
      <w:r>
        <w:rPr>
          <w:i/>
          <w:color w:val="888888"/>
        </w:rPr>
        <w:t>[Image placeholder]</w:t>
      </w:r>
    </w:p>
    <w:p>
      <w:pPr>
        <w:spacing w:before="80" w:after="80"/>
        <w:shd w:fill="E8E8E8" w:val="clear"/>
      </w:pPr>
      <w:r>
        <w:rPr>
          <w:i/>
          <w:color w:val="444444"/>
          <w:sz w:val="18"/>
        </w:rPr>
        <w:t>Speaker Notes: Requirements for earning commission</w:t>
        <w:br/>
        <w:t>BillingCenter associates commission with a charge if the related policy is associated with at least one producer code, and the commission plan for the producer code lists the charge pattern as a commissionable.</w:t>
        <w:br/>
        <w:br/>
        <w:t>For a charge with a charge breakdown, there is an additional requirement. A charge breakdown item must be flagged as commissionable to earn commissiom A typical case is a Premium Including Taxes charge that includes both a Premium item and a Taxes item. The Premium item would be flagged as commissionable whereas the Taxes item would not be flagged as commissionable.</w:t>
        <w:br/>
        <w:br/>
        <w:t>Note that the commissionable flag is part of the charge breakdown details that PolicyCenter sends to BillingCenter.</w:t>
      </w:r>
    </w:p>
    <w:p>
      <w:pPr>
        <w:pStyle w:val="Heading3"/>
      </w:pPr>
      <w:r>
        <w:rPr>
          <w:sz w:val="24"/>
        </w:rPr>
        <w:t>Slide 12/42: (Untitled)</w:t>
      </w:r>
    </w:p>
    <w:p>
      <w:r>
        <w:rPr>
          <w:i/>
          <w:color w:val="888888"/>
        </w:rPr>
        <w:t>[Image placeholder]</w:t>
      </w:r>
    </w:p>
    <w:p>
      <w:pPr>
        <w:pStyle w:val="Heading3"/>
      </w:pPr>
      <w:r>
        <w:rPr>
          <w:sz w:val="24"/>
        </w:rPr>
        <w:t>Slide 13/42: (Untitled)</w:t>
      </w:r>
    </w:p>
    <w:p>
      <w:r>
        <w:rPr>
          <w:i/>
          <w:color w:val="888888"/>
        </w:rPr>
        <w:t>[Image placeholder]</w:t>
      </w:r>
    </w:p>
    <w:p>
      <w:pPr>
        <w:spacing w:before="80" w:after="80"/>
        <w:shd w:fill="E8E8E8" w:val="clear"/>
      </w:pPr>
      <w:r>
        <w:rPr>
          <w:i/>
          <w:color w:val="444444"/>
          <w:sz w:val="18"/>
        </w:rPr>
        <w:t>Speaker Notes: What event is represented by each number?</w:t>
        <w:br/>
        <w:t>When BillingCenter receives a billing request from the PAS, it first constructs a billing instruction. If the billing instruction is for a commissionable charge such as Premium and the policy has an associated producer,  BillingCenter calculates how much commission the producer will earn over the lifetime of the policy. The calculated amount is set aside as commission reserve.</w:t>
        <w:br/>
        <w:br/>
        <w:t>Over time, the commission is earned. Settings on a commission plan determine what event will trigger commission earning.</w:t>
        <w:br/>
        <w:br/>
        <w:t>Every producer has a commission day of month. When that date is reached and a batch process is run, the commission is paid to the producer.</w:t>
      </w:r>
    </w:p>
    <w:p>
      <w:pPr>
        <w:pStyle w:val="Heading3"/>
      </w:pPr>
      <w:r>
        <w:rPr>
          <w:sz w:val="24"/>
        </w:rPr>
        <w:t>Slide 14/42: (Untitled)</w:t>
      </w:r>
    </w:p>
    <w:p>
      <w:r>
        <w:rPr>
          <w:i/>
          <w:color w:val="888888"/>
        </w:rPr>
        <w:t>[Image placeholder]</w:t>
      </w:r>
    </w:p>
    <w:p>
      <w:pPr>
        <w:pStyle w:val="Heading3"/>
      </w:pPr>
      <w:r>
        <w:rPr>
          <w:sz w:val="24"/>
        </w:rPr>
        <w:t>Slide 15/42: (Untitled)</w:t>
      </w:r>
    </w:p>
    <w:p>
      <w:r>
        <w:rPr>
          <w:i/>
          <w:color w:val="888888"/>
        </w:rPr>
        <w:t>[Image placeholder]</w:t>
      </w:r>
    </w:p>
    <w:p>
      <w:pPr>
        <w:pStyle w:val="Heading3"/>
      </w:pPr>
      <w:r>
        <w:rPr>
          <w:sz w:val="24"/>
        </w:rPr>
        <w:t>Slide 16/42: (Untitled)</w:t>
      </w:r>
    </w:p>
    <w:p>
      <w:r>
        <w:rPr>
          <w:i/>
          <w:color w:val="888888"/>
        </w:rPr>
        <w:t>[Image placeholder]</w:t>
      </w:r>
    </w:p>
    <w:p>
      <w:pPr>
        <w:pStyle w:val="Heading3"/>
      </w:pPr>
      <w:r>
        <w:rPr>
          <w:sz w:val="24"/>
        </w:rPr>
        <w:t>Slide 17/42: (Untitled)</w:t>
      </w:r>
    </w:p>
    <w:p>
      <w:pPr>
        <w:pStyle w:val="Heading3"/>
      </w:pPr>
      <w:r>
        <w:rPr>
          <w:sz w:val="24"/>
        </w:rPr>
        <w:t>Slide 18/42: (Untitled)</w:t>
      </w:r>
    </w:p>
    <w:p>
      <w:r>
        <w:rPr>
          <w:i/>
          <w:color w:val="888888"/>
        </w:rPr>
        <w:t>[Image placeholder]</w:t>
      </w:r>
    </w:p>
    <w:p>
      <w:pPr>
        <w:spacing w:before="80" w:after="80"/>
        <w:shd w:fill="E8E8E8" w:val="clear"/>
      </w:pPr>
      <w:r>
        <w:rPr>
          <w:i/>
          <w:color w:val="444444"/>
          <w:sz w:val="18"/>
        </w:rPr>
        <w:t>Speaker Notes: Setting the context</w:t>
        <w:br/>
        <w:t>Marcus realizes that Succeed Insurance has quite complex commission schedules. He asks Marci how these schedules can be mapped to commission plans in BillingCenter. Marci explains that requirements are captured using commission plans and subplans.</w:t>
      </w:r>
    </w:p>
    <w:p>
      <w:pPr>
        <w:pStyle w:val="Heading3"/>
      </w:pPr>
      <w:r>
        <w:rPr>
          <w:sz w:val="24"/>
        </w:rPr>
        <w:t>Slide 19/42: (Untitled)</w:t>
      </w:r>
    </w:p>
    <w:p>
      <w:r>
        <w:rPr>
          <w:i/>
          <w:color w:val="888888"/>
        </w:rPr>
        <w:t>[Image placeholder]</w:t>
      </w:r>
    </w:p>
    <w:p>
      <w:pPr>
        <w:spacing w:before="80" w:after="80"/>
        <w:shd w:fill="E8E8E8" w:val="clear"/>
      </w:pPr>
      <w:r>
        <w:rPr>
          <w:i/>
          <w:color w:val="444444"/>
          <w:sz w:val="18"/>
        </w:rPr>
        <w:t>Speaker Notes: Specifying different sets of commission rules</w:t>
        <w:br/>
        <w:t xml:space="preserve">Subplans are the key to specifying different rules for earning commission. A commission plan can have multiple subplans. Each subplan specifies its own rules for rates and commissionable items. It also identifies the event that causes commission to be earned.  </w:t>
        <w:br/>
        <w:br/>
        <w:t>For example, the Personal Auto subplan could specify that a primary producer earns 10% commission on premium when a policy is bound. In contrast, the Homeowners subplan could specify that the primary producer earns 8.5% commission on premium on the policy's effective date.</w:t>
        <w:br/>
        <w:br/>
        <w:t>Every commission plan has a default subplan, which is used if no other subplan is relevant for a particular policy. In the example,  BillingCenter would use the Default subplan for policies for any line of business that is not Personal Auto or Homeowners.</w:t>
      </w:r>
    </w:p>
    <w:p>
      <w:pPr>
        <w:pStyle w:val="Heading3"/>
      </w:pPr>
      <w:r>
        <w:rPr>
          <w:sz w:val="24"/>
        </w:rPr>
        <w:t>Slide 20/42: (Untitled)</w:t>
      </w:r>
    </w:p>
    <w:p>
      <w:r>
        <w:rPr>
          <w:i/>
          <w:color w:val="888888"/>
        </w:rPr>
        <w:t>[Image placeholder]</w:t>
      </w:r>
    </w:p>
    <w:p>
      <w:pPr>
        <w:spacing w:before="80" w:after="80"/>
        <w:shd w:fill="E8E8E8" w:val="clear"/>
      </w:pPr>
      <w:r>
        <w:rPr>
          <w:i/>
          <w:color w:val="444444"/>
          <w:sz w:val="18"/>
        </w:rPr>
        <w:t>Speaker Notes: Subplan Availability tab restricts usage of a subplan</w:t>
        <w:br/>
        <w:t>The Subplan Availability tab defines the characteristics of the policies that will eam commission under this subplan. The values that control subplan availability come from account, policy, and policy term attributes.</w:t>
        <w:br/>
        <w:br/>
        <w:t>Each subplan has a priority. BillingCenter evaluates the availability criteria in priority order. The first subplan that matches the policy is used. If no conditional subplans match the policy, BillingCenter uses the Default subplan. For this reason, every commission plan has a Default subplan and the Default subplan does not have an availability tab.</w:t>
        <w:br/>
        <w:br/>
        <w:t xml:space="preserve">The subplan shown in the slide will be used only if all of the following conditions are met </w:t>
        <w:br/>
        <w:t>This is a personal auto policy.</w:t>
        <w:br/>
        <w:t>The policy is new or a first renewal.</w:t>
        <w:br/>
        <w:t>The segment is Personal.</w:t>
        <w:br/>
        <w:t>The account evaluation is Acceptable, Excellent, or Good.</w:t>
        <w:br/>
        <w:br/>
        <w:t>Refer to the BillingCenter Application Guide for more information.</w:t>
      </w:r>
    </w:p>
    <w:p>
      <w:pPr>
        <w:pStyle w:val="Heading3"/>
      </w:pPr>
      <w:r>
        <w:rPr>
          <w:sz w:val="24"/>
        </w:rPr>
        <w:t>Slide 21/42: (Untitled)</w:t>
      </w:r>
    </w:p>
    <w:p>
      <w:r>
        <w:rPr>
          <w:i/>
          <w:color w:val="888888"/>
        </w:rPr>
        <w:t>[Image placeholder]</w:t>
      </w:r>
    </w:p>
    <w:p>
      <w:pPr>
        <w:pStyle w:val="Heading3"/>
      </w:pPr>
      <w:r>
        <w:rPr>
          <w:sz w:val="24"/>
        </w:rPr>
        <w:t>Slide 22/42: (Untitled)</w:t>
      </w:r>
    </w:p>
    <w:p>
      <w:r>
        <w:rPr>
          <w:i/>
          <w:color w:val="888888"/>
        </w:rPr>
        <w:t>[Image placeholder]</w:t>
      </w:r>
    </w:p>
    <w:p>
      <w:pPr>
        <w:pStyle w:val="Heading3"/>
      </w:pPr>
      <w:r>
        <w:rPr>
          <w:sz w:val="24"/>
        </w:rPr>
        <w:t>Slide 23/42: (Untitled)</w:t>
      </w:r>
    </w:p>
    <w:p>
      <w:r>
        <w:rPr>
          <w:i/>
          <w:color w:val="888888"/>
        </w:rPr>
        <w:t>[Image placeholder]</w:t>
      </w:r>
    </w:p>
    <w:p>
      <w:pPr>
        <w:pStyle w:val="Heading3"/>
      </w:pPr>
      <w:r>
        <w:rPr>
          <w:sz w:val="24"/>
        </w:rPr>
        <w:t>Slide 24/42: (Untitled)</w:t>
      </w:r>
    </w:p>
    <w:p>
      <w:r>
        <w:rPr>
          <w:i/>
          <w:color w:val="888888"/>
        </w:rPr>
        <w:t>[Image placeholder]</w:t>
      </w:r>
    </w:p>
    <w:p>
      <w:pPr>
        <w:pStyle w:val="Heading3"/>
      </w:pPr>
      <w:r>
        <w:rPr>
          <w:sz w:val="24"/>
        </w:rPr>
        <w:t>Slide 25/42: (Untitled)</w:t>
      </w:r>
    </w:p>
    <w:p>
      <w:r>
        <w:rPr>
          <w:i/>
          <w:color w:val="888888"/>
        </w:rPr>
        <w:t>[Image placeholder]</w:t>
      </w:r>
    </w:p>
    <w:p>
      <w:pPr>
        <w:pStyle w:val="Heading3"/>
      </w:pPr>
      <w:r>
        <w:rPr>
          <w:sz w:val="24"/>
        </w:rPr>
        <w:t>Slide 26/42: (Untitled)</w:t>
      </w:r>
    </w:p>
    <w:p>
      <w:r>
        <w:rPr>
          <w:i/>
          <w:color w:val="888888"/>
        </w:rPr>
        <w:t>[Image placeholder]</w:t>
      </w:r>
    </w:p>
    <w:p>
      <w:pPr>
        <w:pStyle w:val="Heading3"/>
      </w:pPr>
      <w:r>
        <w:rPr>
          <w:sz w:val="24"/>
        </w:rPr>
        <w:t>Slide 27/42: (Untitled)</w:t>
      </w:r>
    </w:p>
    <w:p>
      <w:r>
        <w:rPr>
          <w:i/>
          <w:color w:val="888888"/>
        </w:rPr>
        <w:t>[Image placeholder]</w:t>
      </w:r>
    </w:p>
    <w:p>
      <w:pPr>
        <w:pStyle w:val="Heading3"/>
      </w:pPr>
      <w:r>
        <w:rPr>
          <w:sz w:val="24"/>
        </w:rPr>
        <w:t>Slide 28/42: (Untitled)</w:t>
      </w:r>
    </w:p>
    <w:p>
      <w:pPr>
        <w:pStyle w:val="Heading3"/>
      </w:pPr>
      <w:r>
        <w:rPr>
          <w:sz w:val="24"/>
        </w:rPr>
        <w:t>Slide 29/42: (Untitled)</w:t>
      </w:r>
    </w:p>
    <w:p>
      <w:r>
        <w:rPr>
          <w:i/>
          <w:color w:val="888888"/>
        </w:rPr>
        <w:t>[Image placeholder]</w:t>
      </w:r>
    </w:p>
    <w:p>
      <w:pPr>
        <w:spacing w:before="80" w:after="80"/>
        <w:shd w:fill="E8E8E8" w:val="clear"/>
      </w:pPr>
      <w:r>
        <w:rPr>
          <w:i/>
          <w:color w:val="444444"/>
          <w:sz w:val="18"/>
        </w:rPr>
        <w:t>Speaker Notes: Determining when is commission eamed</w:t>
        <w:br/>
        <w:t>Each subplan has a field that specifies the event or date on which the producer eams commissiom Commission can be earned all at once, earned pro rata, or earned on a specific date.  In addition, a subplan can specify Custom as the earning event</w:t>
        <w:br/>
        <w:br/>
        <w:t>The Custom earning criterion provides configuration developers a way to configure a custom approach to releasing commissiom.</w:t>
        <w:br/>
        <w:br/>
        <w:t>For example, an insurer could have policies that are effective for two years. The requirement is to pay half the commission in the first year and the other half on the anniversary of the policy on the following year. BillingCenter evaluates the Custom criterion when a policy is bound, in case the custom logic indicates the commission should be earned immediately. After that, it is evaluated only when the Commission Payable Calculation batch process is run.</w:t>
        <w:br/>
        <w:br/>
        <w:t>Refer to the Payable Criteria topic in the BillingCenter Application Guide.</w:t>
      </w:r>
    </w:p>
    <w:p>
      <w:pPr>
        <w:pStyle w:val="Heading3"/>
      </w:pPr>
      <w:r>
        <w:rPr>
          <w:sz w:val="24"/>
        </w:rPr>
        <w:t>Slide 30/42: (Untitled)</w:t>
      </w:r>
    </w:p>
    <w:p>
      <w:r>
        <w:rPr>
          <w:i/>
          <w:color w:val="888888"/>
        </w:rPr>
        <w:t>[Image placeholder]</w:t>
      </w:r>
    </w:p>
    <w:p>
      <w:pPr>
        <w:pStyle w:val="Heading3"/>
      </w:pPr>
      <w:r>
        <w:rPr>
          <w:sz w:val="24"/>
        </w:rPr>
        <w:t>Slide 31/42: (Untitled)</w:t>
      </w:r>
    </w:p>
    <w:p>
      <w:r>
        <w:rPr>
          <w:i/>
          <w:color w:val="888888"/>
        </w:rPr>
        <w:t>[Image placeholder]</w:t>
      </w:r>
    </w:p>
    <w:p>
      <w:pPr>
        <w:pStyle w:val="Heading3"/>
      </w:pPr>
      <w:r>
        <w:rPr>
          <w:sz w:val="24"/>
        </w:rPr>
        <w:t>Slide 32/42: (Untitled)</w:t>
      </w:r>
    </w:p>
    <w:p>
      <w:r>
        <w:rPr>
          <w:i/>
          <w:color w:val="888888"/>
        </w:rPr>
        <w:t>[Image placeholder]</w:t>
      </w:r>
    </w:p>
    <w:p>
      <w:pPr>
        <w:spacing w:before="80" w:after="80"/>
        <w:shd w:fill="E8E8E8" w:val="clear"/>
      </w:pPr>
      <w:r>
        <w:rPr>
          <w:i/>
          <w:color w:val="444444"/>
          <w:sz w:val="18"/>
        </w:rPr>
        <w:t>Speaker Notes: Setting the context</w:t>
        <w:br/>
        <w:t>Now that Marcus understands the purpose of commission plans, Marci volunteers to show him how to test a commission plan.  This is the topic of the next demo.</w:t>
      </w:r>
    </w:p>
    <w:p>
      <w:pPr>
        <w:pStyle w:val="Heading3"/>
      </w:pPr>
      <w:r>
        <w:rPr>
          <w:sz w:val="24"/>
        </w:rPr>
        <w:t>Slide 33/42: (Untitled)</w:t>
      </w:r>
    </w:p>
    <w:p>
      <w:r>
        <w:rPr>
          <w:i/>
          <w:color w:val="888888"/>
        </w:rPr>
        <w:t>[Image placeholder]</w:t>
      </w:r>
    </w:p>
    <w:p>
      <w:pPr>
        <w:pStyle w:val="Heading3"/>
      </w:pPr>
      <w:r>
        <w:rPr>
          <w:sz w:val="24"/>
        </w:rPr>
        <w:t>Slide 34/42: (Untitled)</w:t>
      </w:r>
    </w:p>
    <w:p>
      <w:pPr>
        <w:pStyle w:val="Heading3"/>
      </w:pPr>
      <w:r>
        <w:rPr>
          <w:sz w:val="24"/>
        </w:rPr>
        <w:t>Slide 35/42: (Untitled)</w:t>
      </w:r>
    </w:p>
    <w:p>
      <w:r>
        <w:rPr>
          <w:i/>
          <w:color w:val="888888"/>
        </w:rPr>
        <w:t>[Image placeholder]</w:t>
      </w:r>
    </w:p>
    <w:p>
      <w:pPr>
        <w:spacing w:before="80" w:after="80"/>
        <w:shd w:fill="E8E8E8" w:val="clear"/>
      </w:pPr>
      <w:r>
        <w:rPr>
          <w:i/>
          <w:color w:val="444444"/>
          <w:sz w:val="18"/>
        </w:rPr>
        <w:t>Speaker Notes: Setting the context</w:t>
        <w:br/>
        <w:t>Now that Marcus is more familiar with commission plans, he asks Marci if there is a way to override the commission specified on the commission plan. Marci is happy to explain commission overrides.</w:t>
      </w:r>
    </w:p>
    <w:p>
      <w:pPr>
        <w:pStyle w:val="Heading3"/>
      </w:pPr>
      <w:r>
        <w:rPr>
          <w:sz w:val="24"/>
        </w:rPr>
        <w:t>Slide 36/42: (Untitled)</w:t>
      </w:r>
    </w:p>
    <w:p>
      <w:r>
        <w:rPr>
          <w:i/>
          <w:color w:val="888888"/>
        </w:rPr>
        <w:t>[Image placeholder]</w:t>
      </w:r>
    </w:p>
    <w:p>
      <w:pPr>
        <w:spacing w:before="80" w:after="80"/>
        <w:shd w:fill="E8E8E8" w:val="clear"/>
      </w:pPr>
      <w:r>
        <w:rPr>
          <w:i/>
          <w:color w:val="444444"/>
          <w:sz w:val="18"/>
        </w:rPr>
        <w:t>Speaker Notes: Overriding commission on a policy</w:t>
        <w:br/>
        <w:t>There are various places and ways to override the commission earned by a policy or charge.</w:t>
        <w:br/>
        <w:br/>
        <w:t>For a policy, you can override the commission rate or select a different commission plan. To do this, go to the Policy tab for the policy and click Commissions in the SideBar. Click Override Plan.  Then select either Alternate Plan or Percentage. Either select a different plan or enter a percentage. Click Update to save your changes.</w:t>
      </w:r>
    </w:p>
    <w:p>
      <w:pPr>
        <w:pStyle w:val="Heading3"/>
      </w:pPr>
      <w:r>
        <w:rPr>
          <w:sz w:val="24"/>
        </w:rPr>
        <w:t>Slide 37/42: (Untitled)</w:t>
      </w:r>
    </w:p>
    <w:p>
      <w:r>
        <w:rPr>
          <w:i/>
          <w:color w:val="888888"/>
        </w:rPr>
        <w:t>[Image placeholder]</w:t>
      </w:r>
    </w:p>
    <w:p>
      <w:pPr>
        <w:spacing w:before="80" w:after="80"/>
        <w:shd w:fill="E8E8E8" w:val="clear"/>
      </w:pPr>
      <w:r>
        <w:rPr>
          <w:i/>
          <w:color w:val="444444"/>
          <w:sz w:val="18"/>
        </w:rPr>
        <w:t>Speaker Notes: Overriding commission on a charge</w:t>
        <w:br/>
        <w:t>You can override the commission on a charge from either the Account tab or the Policy tab.</w:t>
        <w:br/>
        <w:br/>
        <w:t xml:space="preserve">Go to the Charges screen and select the charge. Click Override Commission. To override the commission for the primary producer, either a percentage in the Commission Rate Override field or a flat amount in the Commission Amount Override field. There are additional fields (not shown in the screenshot) for overriding commissions for the secondary and referrer producer. Click 0K to save your changes. </w:t>
        <w:br/>
        <w:br/>
        <w:t>Overriding commission by specifying an amount rather than a rate is useful for insurers that use complex incentive systems that calculate commission. These insurers can simply enter the calculated commission amount in the Commission Amount Override field for a charge.</w:t>
      </w:r>
    </w:p>
    <w:p>
      <w:pPr>
        <w:pStyle w:val="Heading3"/>
      </w:pPr>
      <w:r>
        <w:rPr>
          <w:sz w:val="24"/>
        </w:rPr>
        <w:t>Slide 38/42: (Untitled)</w:t>
      </w:r>
    </w:p>
    <w:p>
      <w:r>
        <w:rPr>
          <w:i/>
          <w:color w:val="888888"/>
        </w:rPr>
        <w:t>[Image placeholder]</w:t>
      </w:r>
    </w:p>
    <w:p>
      <w:pPr>
        <w:pStyle w:val="Heading3"/>
      </w:pPr>
      <w:r>
        <w:rPr>
          <w:sz w:val="24"/>
        </w:rPr>
        <w:t>Slide 39/42: (Untitled)</w:t>
      </w:r>
    </w:p>
    <w:p>
      <w:r>
        <w:rPr>
          <w:i/>
          <w:color w:val="888888"/>
        </w:rPr>
        <w:t>[Image placeholder]</w:t>
      </w:r>
    </w:p>
    <w:p>
      <w:pPr>
        <w:pStyle w:val="Heading3"/>
      </w:pPr>
      <w:r>
        <w:rPr>
          <w:sz w:val="24"/>
        </w:rPr>
        <w:t>Slide 40/42: (Untitled)</w:t>
      </w:r>
    </w:p>
    <w:p>
      <w:r>
        <w:rPr>
          <w:i/>
          <w:color w:val="888888"/>
        </w:rPr>
        <w:t>[Image placeholder]</w:t>
      </w:r>
    </w:p>
    <w:p>
      <w:pPr>
        <w:pStyle w:val="Heading3"/>
      </w:pPr>
      <w:r>
        <w:rPr>
          <w:sz w:val="24"/>
        </w:rPr>
        <w:t>Slide 41/42: (Untitled)</w:t>
      </w:r>
    </w:p>
    <w:p>
      <w:r>
        <w:rPr>
          <w:i/>
          <w:color w:val="888888"/>
        </w:rPr>
        <w:t>[Image placeholder]</w:t>
      </w:r>
    </w:p>
    <w:p>
      <w:pPr>
        <w:spacing w:before="80" w:after="80"/>
        <w:shd w:fill="E8E8E8" w:val="clear"/>
      </w:pPr>
      <w:r>
        <w:rPr>
          <w:i/>
          <w:color w:val="444444"/>
          <w:sz w:val="18"/>
        </w:rPr>
        <w:t>Speaker Notes: Virtual machine instructions</w:t>
        <w:br/>
        <w:t>If you have access to a VM as part of your course, you would have received an email from CloudShare which contains a link and instructions to start your VM- Start the VM now.  Once the VM has started, follow these steps to start the BillingCenter application:</w:t>
        <w:br/>
        <w:t>1. Locate the BillingCenter Shortcuts folder on the Desktop</w:t>
        <w:br/>
        <w:t>2. Open the BillingCenter Shortcuts folder</w:t>
        <w:br/>
        <w:t>3. From the file list, double- click Start BillingCenter</w:t>
        <w:br/>
        <w:br/>
        <w:t>This will open a command prompt window. Several messages related to BillingCenter's startup appear in the window- When the steps are finished, you will see the following message in the command prompt window.</w:t>
        <w:br/>
        <w:br/>
        <w:t>It is easy to miss the •ready' message since BillingCenter continues processing activities after displaying the notice.</w:t>
        <w:br/>
        <w:br/>
        <w:t>If you have waited three minutes or more and have not seen the message, go to step 6 and open Chrome. The percentage will remain at 0% but disregard the message.</w:t>
        <w:br/>
        <w:t>4. Leave the command window open (minimize it if needed)</w:t>
        <w:br/>
        <w:t>5. Open Chrome from the bottom bar of the VM</w:t>
        <w:br/>
        <w:t>6. In the browser, connect to the following URL: http : / /iocaih03t : ESSO/ . do</w:t>
        <w:br/>
        <w:t>7. When you are finished training for the day, stop the application server. To stop the server, click on the Stop BillingCenter shortcut in the folder BillingCenter Shortcuts folder on the Desktop. This will open a command prompt window to shutdown BillingCenter.</w:t>
      </w:r>
    </w:p>
    <w:p>
      <w:pPr>
        <w:pStyle w:val="Heading3"/>
      </w:pPr>
      <w:r>
        <w:rPr>
          <w:sz w:val="24"/>
        </w:rPr>
        <w:t>Slide 42/42: (Untitled)</w:t>
      </w:r>
    </w:p>
    <w:p>
      <w:r>
        <w:rPr>
          <w:i/>
          <w:color w:val="888888"/>
        </w:rPr>
        <w:t>[Image placeholder]</w:t>
      </w:r>
    </w:p>
    <w:p>
      <w:pPr>
        <w:pStyle w:val="Heading2"/>
      </w:pPr>
      <w:r>
        <w:t>Assignment</w:t>
      </w:r>
    </w:p>
    <w:p>
      <w:r>
        <w:rPr>
          <w:b/>
          <w:color w:val="008800"/>
        </w:rPr>
        <w:t>[Assignment 14]: Managing Producers and Commissions</w:t>
      </w:r>
    </w:p>
    <w:p>
      <w:r>
        <w:rPr>
          <w:i/>
          <w:sz w:val="18"/>
        </w:rPr>
        <w:t>File: 14 - Managing Producers and Commissions.pdf</w:t>
      </w:r>
    </w:p>
    <w:p/>
    <w:p>
      <w:pPr>
        <w:spacing w:before="240"/>
        <w:jc w:val="center"/>
      </w:pPr>
      <w:r>
        <w:rPr>
          <w:i/>
          <w:color w:val="999999"/>
          <w:sz w:val="16"/>
        </w:rPr>
        <w:t>--- End of Lesson 14: Managing Producers and Commissions | 42 slides | 3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