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17: Billing at the Account Level</w:t>
      </w:r>
    </w:p>
    <w:p>
      <w:pPr>
        <w:spacing w:after="40"/>
      </w:pPr>
      <w:r>
        <w:rPr>
          <w:i/>
          <w:color w:val="999999"/>
          <w:sz w:val="16"/>
        </w:rPr>
        <w:t>Source: Billing at the Account Level.pptx</w:t>
      </w:r>
    </w:p>
    <w:p>
      <w:pPr>
        <w:pStyle w:val="Heading3"/>
      </w:pPr>
      <w:r>
        <w:t>Video References</w:t>
      </w:r>
    </w:p>
    <w:p>
      <w:pPr>
        <w:pStyle w:val="ListNumber"/>
      </w:pPr>
      <w:r>
        <w:rPr>
          <w:color w:val="0066CC"/>
          <w:sz w:val="20"/>
        </w:rPr>
        <w:t>[Video 1: Billing_17_01.mp4]</w:t>
      </w:r>
    </w:p>
    <w:p/>
    <w:p>
      <w:pPr>
        <w:pStyle w:val="Heading2"/>
      </w:pPr>
      <w:r>
        <w:t>Slide Content</w:t>
      </w:r>
    </w:p>
    <w:p>
      <w:pPr>
        <w:pStyle w:val="Heading3"/>
      </w:pPr>
      <w:r>
        <w:rPr>
          <w:sz w:val="24"/>
        </w:rPr>
        <w:t>Slide 1/32: (Untitled)</w:t>
      </w:r>
    </w:p>
    <w:p>
      <w:r>
        <w:rPr>
          <w:i/>
          <w:color w:val="888888"/>
        </w:rPr>
        <w:t>[Image placeholder]</w:t>
      </w:r>
    </w:p>
    <w:p>
      <w:pPr>
        <w:pStyle w:val="Heading3"/>
      </w:pPr>
      <w:r>
        <w:rPr>
          <w:sz w:val="24"/>
        </w:rPr>
        <w:t>Slide 2/32: (Untitled)</w:t>
      </w:r>
    </w:p>
    <w:p>
      <w:r>
        <w:rPr>
          <w:i/>
          <w:color w:val="888888"/>
        </w:rPr>
        <w:t>[Image placeholder]</w:t>
      </w:r>
    </w:p>
    <w:p>
      <w:pPr>
        <w:pStyle w:val="Heading3"/>
      </w:pPr>
      <w:r>
        <w:rPr>
          <w:sz w:val="24"/>
        </w:rPr>
        <w:t>Slide 3/32: (Untitled)</w:t>
      </w:r>
    </w:p>
    <w:p>
      <w:r>
        <w:rPr>
          <w:i/>
          <w:color w:val="888888"/>
        </w:rPr>
        <w:t>[Image placeholder]</w:t>
      </w:r>
    </w:p>
    <w:p>
      <w:pPr>
        <w:pStyle w:val="Heading3"/>
      </w:pPr>
      <w:r>
        <w:rPr>
          <w:sz w:val="24"/>
        </w:rPr>
        <w:t>Slide 4/32: (Untitled)</w:t>
      </w:r>
    </w:p>
    <w:p>
      <w:r>
        <w:rPr>
          <w:i/>
          <w:color w:val="888888"/>
        </w:rPr>
        <w:t>[Image placeholder]</w:t>
      </w:r>
    </w:p>
    <w:p>
      <w:pPr>
        <w:spacing w:before="80" w:after="80"/>
        <w:shd w:fill="E8E8E8" w:val="clear"/>
      </w:pPr>
      <w:r>
        <w:rPr>
          <w:i/>
          <w:color w:val="444444"/>
          <w:sz w:val="18"/>
        </w:rPr>
        <w:t>Speaker Notes: Setting the context</w:t>
        <w:br/>
        <w:t>As Marcus points out, some customers want all their policies to be billed on a single invoice.  Zhang suggests that account- level billing provides a simple solution.</w:t>
      </w:r>
    </w:p>
    <w:p>
      <w:pPr>
        <w:pStyle w:val="Heading3"/>
      </w:pPr>
      <w:r>
        <w:rPr>
          <w:sz w:val="24"/>
        </w:rPr>
        <w:t>Slide 5/32: (Untitled)</w:t>
      </w:r>
    </w:p>
    <w:p>
      <w:r>
        <w:rPr>
          <w:i/>
          <w:color w:val="888888"/>
        </w:rPr>
        <w:t>[Image placeholder]</w:t>
      </w:r>
    </w:p>
    <w:p>
      <w:pPr>
        <w:spacing w:before="80" w:after="80"/>
        <w:shd w:fill="E8E8E8" w:val="clear"/>
      </w:pPr>
      <w:r>
        <w:rPr>
          <w:i/>
          <w:color w:val="444444"/>
          <w:sz w:val="18"/>
        </w:rPr>
        <w:t>Speaker Notes: Review: Policy-level billing</w:t>
        <w:br/>
        <w:t>With policy-level billing, each policy is invoiced using its own invoice stream. This means an invoice contains invoice items for a single policy only.</w:t>
        <w:br/>
        <w:br/>
        <w:t>In the diagram, invoices for Policy A belong to a dedicated invoice stream. Invoices for Policy B belong to another dedicated (separate) invoice stream.</w:t>
      </w:r>
    </w:p>
    <w:p>
      <w:pPr>
        <w:pStyle w:val="Heading3"/>
      </w:pPr>
      <w:r>
        <w:rPr>
          <w:sz w:val="24"/>
        </w:rPr>
        <w:t>Slide 6/32: (Untitled)</w:t>
      </w:r>
    </w:p>
    <w:p>
      <w:r>
        <w:rPr>
          <w:i/>
          <w:color w:val="888888"/>
        </w:rPr>
        <w:t>[Image placeholder]</w:t>
      </w:r>
    </w:p>
    <w:p>
      <w:pPr>
        <w:spacing w:before="80" w:after="80"/>
        <w:shd w:fill="E8E8E8" w:val="clear"/>
      </w:pPr>
      <w:r>
        <w:rPr>
          <w:i/>
          <w:color w:val="444444"/>
          <w:sz w:val="18"/>
        </w:rPr>
        <w:t>Speaker Notes: Policy-level billing versus account- level billing</w:t>
        <w:br/>
        <w:t>With account-level billing, more than one policy can be invoiced using the same invoice stream. This means that an invoice can include invoice items from multiple policies.</w:t>
        <w:br/>
        <w:br/>
        <w:t xml:space="preserve">For example, if the account has two policies that are invoiced monthly, both policies will be billed on the same invoices in the same invoice stream. In the diagram, both Policy X and Policy Y have the same payment interval, which is monthly- The periodicity of the invoice stream is also monthly- Thus, the policies share the same invoice stream. </w:t>
        <w:br/>
        <w:br/>
        <w:t>Note: Account-level charges such as certain fees are always invoiced using an invoice stream with a Monthly periodicity,  regardless of the paymentinterval of the policy.</w:t>
      </w:r>
    </w:p>
    <w:p>
      <w:pPr>
        <w:pStyle w:val="Heading3"/>
      </w:pPr>
      <w:r>
        <w:rPr>
          <w:sz w:val="24"/>
        </w:rPr>
        <w:t>Slide 7/32: (Untitled)</w:t>
      </w:r>
    </w:p>
    <w:p>
      <w:r>
        <w:rPr>
          <w:i/>
          <w:color w:val="888888"/>
        </w:rPr>
        <w:t>[Image placeholder]</w:t>
      </w:r>
    </w:p>
    <w:p>
      <w:pPr>
        <w:spacing w:before="80" w:after="80"/>
        <w:shd w:fill="E8E8E8" w:val="clear"/>
      </w:pPr>
      <w:r>
        <w:rPr>
          <w:i/>
          <w:color w:val="444444"/>
          <w:sz w:val="18"/>
        </w:rPr>
        <w:t>Speaker Notes: Account-level billing: View and modify billing level</w:t>
        <w:br/>
        <w:t>This is the first of four slides that provide a brief tour of an account that uses account-level billing.</w:t>
        <w:br/>
        <w:br/>
        <w:t>The billing level for an account is specified on the Account Details screen.</w:t>
        <w:br/>
        <w:br/>
        <w:t>To change the billing level, click the down arrow and select Modify. The down arrow is available in view mode only, not edit mode.</w:t>
        <w:br/>
        <w:br/>
        <w:t>Notice cash separation has been disabled because account-level billing does not support cash separation.</w:t>
      </w:r>
    </w:p>
    <w:p>
      <w:pPr>
        <w:pStyle w:val="Heading3"/>
      </w:pPr>
      <w:r>
        <w:rPr>
          <w:sz w:val="24"/>
        </w:rPr>
        <w:t>Slide 8/32: (Untitled)</w:t>
      </w:r>
    </w:p>
    <w:p>
      <w:r>
        <w:rPr>
          <w:i/>
          <w:color w:val="888888"/>
        </w:rPr>
        <w:t>[Image placeholder]</w:t>
      </w:r>
    </w:p>
    <w:p>
      <w:pPr>
        <w:spacing w:before="80" w:after="80"/>
        <w:shd w:fill="E8E8E8" w:val="clear"/>
      </w:pPr>
      <w:r>
        <w:rPr>
          <w:i/>
          <w:color w:val="444444"/>
          <w:sz w:val="18"/>
        </w:rPr>
        <w:t xml:space="preserve">Speaker Notes: Account-level billing: Two monthly policies </w:t>
        <w:br/>
        <w:t>On the Policy Summary screen, the Financials section indicates the policy will be paid (that is,  invoiced) at the account level.  This means that, given the same periodicity, both policies will share the same invoice stream and same set of invoices.</w:t>
      </w:r>
    </w:p>
    <w:p>
      <w:pPr>
        <w:pStyle w:val="Heading3"/>
      </w:pPr>
      <w:r>
        <w:rPr>
          <w:sz w:val="24"/>
        </w:rPr>
        <w:t>Slide 9/32: (Untitled)</w:t>
      </w:r>
    </w:p>
    <w:p>
      <w:r>
        <w:rPr>
          <w:i/>
          <w:color w:val="888888"/>
        </w:rPr>
        <w:t>[Image placeholder]</w:t>
      </w:r>
    </w:p>
    <w:p>
      <w:pPr>
        <w:spacing w:before="80" w:after="80"/>
        <w:shd w:fill="E8E8E8" w:val="clear"/>
      </w:pPr>
      <w:r>
        <w:rPr>
          <w:i/>
          <w:color w:val="444444"/>
          <w:sz w:val="18"/>
        </w:rPr>
        <w:t>Speaker Notes: Account-level billing: Invoice stream</w:t>
        <w:br/>
        <w:t>The example assumes the payment plan for the two policies specifies a payment interval of Monthly. As a result, both policies can use the same monthly invoice stream.</w:t>
        <w:br/>
        <w:br/>
        <w:t>The Invoicing Dates fields on the account provide default values for the corresponding fields on the invoice stream.  Because the invoice stream’s periodicity is Monthly, the invoice stream has only one anchor date,  Default Day of Month. The setting for this field is determined by the Day of Month setting on the account.</w:t>
      </w:r>
    </w:p>
    <w:p>
      <w:pPr>
        <w:pStyle w:val="Heading3"/>
      </w:pPr>
      <w:r>
        <w:rPr>
          <w:sz w:val="24"/>
        </w:rPr>
        <w:t>Slide 10/32: (Untitled)</w:t>
      </w:r>
    </w:p>
    <w:p>
      <w:r>
        <w:rPr>
          <w:i/>
          <w:color w:val="888888"/>
        </w:rPr>
        <w:t>[Image placeholder]</w:t>
      </w:r>
    </w:p>
    <w:p>
      <w:pPr>
        <w:spacing w:before="80" w:after="80"/>
        <w:shd w:fill="E8E8E8" w:val="clear"/>
      </w:pPr>
      <w:r>
        <w:rPr>
          <w:i/>
          <w:color w:val="444444"/>
          <w:sz w:val="18"/>
        </w:rPr>
        <w:t>Speaker Notes: Account-level billing: Invoice stream and invoices</w:t>
        <w:br/>
        <w:t>As the example shows, invoice items from both policies are placed on the same set of invoices.</w:t>
      </w:r>
    </w:p>
    <w:p>
      <w:pPr>
        <w:pStyle w:val="Heading3"/>
      </w:pPr>
      <w:r>
        <w:rPr>
          <w:sz w:val="24"/>
        </w:rPr>
        <w:t>Slide 11/32: (Untitled)</w:t>
      </w:r>
    </w:p>
    <w:p>
      <w:r>
        <w:rPr>
          <w:i/>
          <w:color w:val="888888"/>
        </w:rPr>
        <w:t>[Image placeholder]</w:t>
      </w:r>
    </w:p>
    <w:p>
      <w:pPr>
        <w:pStyle w:val="Heading3"/>
      </w:pPr>
      <w:r>
        <w:rPr>
          <w:sz w:val="24"/>
        </w:rPr>
        <w:t>Slide 12/32: (Untitled)</w:t>
      </w:r>
    </w:p>
    <w:p>
      <w:pPr>
        <w:pStyle w:val="Heading3"/>
      </w:pPr>
      <w:r>
        <w:rPr>
          <w:sz w:val="24"/>
        </w:rPr>
        <w:t>Slide 13/32: (Untitled)</w:t>
      </w:r>
    </w:p>
    <w:p>
      <w:r>
        <w:rPr>
          <w:i/>
          <w:color w:val="888888"/>
        </w:rPr>
        <w:t>[Image placeholder]</w:t>
      </w:r>
    </w:p>
    <w:p>
      <w:pPr>
        <w:spacing w:before="80" w:after="80"/>
        <w:shd w:fill="E8E8E8" w:val="clear"/>
      </w:pPr>
      <w:r>
        <w:rPr>
          <w:i/>
          <w:color w:val="444444"/>
          <w:sz w:val="18"/>
        </w:rPr>
        <w:t>Speaker Notes: Setting the context</w:t>
        <w:br/>
        <w:t>Marcus asks Zhang to clarify the difference between the periodicity specified on an invoice stream and the payment interval specified on a payment plan.</w:t>
      </w:r>
    </w:p>
    <w:p>
      <w:pPr>
        <w:pStyle w:val="Heading3"/>
      </w:pPr>
      <w:r>
        <w:rPr>
          <w:sz w:val="24"/>
        </w:rPr>
        <w:t>Slide 14/32: (Untitled)</w:t>
      </w:r>
    </w:p>
    <w:p>
      <w:r>
        <w:rPr>
          <w:i/>
          <w:color w:val="888888"/>
        </w:rPr>
        <w:t>[Image placeholder]</w:t>
      </w:r>
    </w:p>
    <w:p>
      <w:pPr>
        <w:spacing w:before="80" w:after="80"/>
        <w:shd w:fill="E8E8E8" w:val="clear"/>
      </w:pPr>
      <w:r>
        <w:rPr>
          <w:i/>
          <w:color w:val="444444"/>
          <w:sz w:val="18"/>
        </w:rPr>
        <w:t>Speaker Notes: Periodicity and anchor dates for an invoice stream</w:t>
        <w:br/>
        <w:t>The Payment Interval field on the payment plan specifies how often billing can occur (that is, the invoicing frequency). The Periodicity field on an invoice stream specifies the frequency of the set of potential invoices contained in an invoice stream. BillingCenter uses the payment interval to select an invoice stream with a compatible periodicity.</w:t>
        <w:br/>
        <w:br/>
        <w:t>Notice the Monthly periodicity supports several payment plan intervals. For example, a policy period with a Quarterly payment interval will use every third invoice in a set of potential monthly invoices.</w:t>
        <w:br/>
        <w:br/>
        <w:t>An account has several Invoicing Dates fields. These settings on the account provide default anchor dates for invoice streams that belong to the account. For example, the value for Monthly Policies: Day of Month sets the anchor date for a monthly stream. Notice a payment interval of Twice Per Month requires two anchor dates.</w:t>
      </w:r>
    </w:p>
    <w:p>
      <w:pPr>
        <w:pStyle w:val="Heading3"/>
      </w:pPr>
      <w:r>
        <w:rPr>
          <w:sz w:val="24"/>
        </w:rPr>
        <w:t>Slide 15/32: (Untitled)</w:t>
      </w:r>
    </w:p>
    <w:p>
      <w:r>
        <w:rPr>
          <w:i/>
          <w:color w:val="888888"/>
        </w:rPr>
        <w:t>[Image placeholder]</w:t>
      </w:r>
    </w:p>
    <w:p>
      <w:pPr>
        <w:spacing w:before="80" w:after="80"/>
        <w:shd w:fill="E8E8E8" w:val="clear"/>
      </w:pPr>
      <w:r>
        <w:rPr>
          <w:i/>
          <w:color w:val="444444"/>
          <w:sz w:val="18"/>
        </w:rPr>
        <w:t>Speaker Notes: Handling policies with different periodicities</w:t>
        <w:br/>
        <w:t>The Monthly invoice stream handles payment intervals of a month and those greater than a month (every other month,  quarterly, yearly, and so on).  Payment intervals of less than a month require their own separate invoice streams.</w:t>
      </w:r>
    </w:p>
    <w:p>
      <w:pPr>
        <w:pStyle w:val="Heading3"/>
      </w:pPr>
      <w:r>
        <w:rPr>
          <w:sz w:val="24"/>
        </w:rPr>
        <w:t>Slide 16/32: (Untitled)</w:t>
      </w:r>
    </w:p>
    <w:p>
      <w:r>
        <w:rPr>
          <w:i/>
          <w:color w:val="888888"/>
        </w:rPr>
        <w:t>[Image placeholder]</w:t>
      </w:r>
    </w:p>
    <w:p>
      <w:pPr>
        <w:spacing w:before="80" w:after="80"/>
        <w:shd w:fill="E8E8E8" w:val="clear"/>
      </w:pPr>
      <w:r>
        <w:rPr>
          <w:i/>
          <w:color w:val="444444"/>
          <w:sz w:val="18"/>
        </w:rPr>
        <w:t>Speaker Notes: Review: Placement dates, invoice item placement</w:t>
        <w:br/>
        <w:t>Every invoice item is assigned a placement date, which is the earliest date that the invoice item can be invoiced. As in policy-level billing, placement dates play a significant role in account-level billing.</w:t>
      </w:r>
    </w:p>
    <w:p>
      <w:pPr>
        <w:pStyle w:val="Heading3"/>
      </w:pPr>
      <w:r>
        <w:rPr>
          <w:sz w:val="24"/>
        </w:rPr>
        <w:t>Slide 17/32: (Untitled)</w:t>
      </w:r>
    </w:p>
    <w:p>
      <w:r>
        <w:rPr>
          <w:i/>
          <w:color w:val="888888"/>
        </w:rPr>
        <w:t>[Image placeholder]</w:t>
      </w:r>
    </w:p>
    <w:p>
      <w:pPr>
        <w:spacing w:before="80" w:after="80"/>
        <w:shd w:fill="E8E8E8" w:val="clear"/>
      </w:pPr>
      <w:r>
        <w:rPr>
          <w:i/>
          <w:color w:val="444444"/>
          <w:sz w:val="18"/>
        </w:rPr>
        <w:t>Speaker Notes: Assigning placement dates in account-level billing</w:t>
        <w:br/>
        <w:t>For both account-level and policy-level billing, invoice item placement dates for down payments and one-time charges  (not shown in the slide) are assigned according to payment plan settings.</w:t>
        <w:br/>
        <w:br/>
        <w:t>For account-level billing only, BillingCenter uses Invoicing Dates settings on the account for assigning the following:</w:t>
        <w:br/>
        <w:br/>
        <w:t>Placement dates for installment invoice items (but not down payment and one- time charge items)</w:t>
        <w:br/>
        <w:t>Anchor date or dates for the invoice stream, which determine the bill dates for invoices contained in the stream</w:t>
        <w:br/>
        <w:br/>
        <w:t>In contrast to account-level billing, for policy-level billing,  BillingCenter uses the payment plan settings for assigning all placement dates and invoice dates.</w:t>
        <w:br/>
        <w:br/>
        <w:t>By handling placement dates and invoice dates differently for the two billing methods, BillingCenter solves the issue of invoice alignment in previous versions of BillingCenter. Refer to the BillingCenter Application Guide for details.</w:t>
      </w:r>
    </w:p>
    <w:p>
      <w:pPr>
        <w:pStyle w:val="Heading3"/>
      </w:pPr>
      <w:r>
        <w:rPr>
          <w:sz w:val="24"/>
        </w:rPr>
        <w:t>Slide 18/32: (Untitled)</w:t>
      </w:r>
    </w:p>
    <w:p>
      <w:r>
        <w:rPr>
          <w:i/>
          <w:color w:val="888888"/>
        </w:rPr>
        <w:t>[Image placeholder]</w:t>
      </w:r>
    </w:p>
    <w:p>
      <w:pPr>
        <w:spacing w:before="80" w:after="80"/>
        <w:shd w:fill="E8E8E8" w:val="clear"/>
      </w:pPr>
      <w:r>
        <w:rPr>
          <w:i/>
          <w:color w:val="444444"/>
          <w:sz w:val="18"/>
        </w:rPr>
        <w:t>Speaker Notes: Cutoff dates for placing items on invoices</w:t>
        <w:br/>
        <w:t>Every invoice has a cutoff date. Invoice items are placed on the first chronological invoice whose cutoff date is on or after the invoice item's placement date.</w:t>
        <w:br/>
        <w:t>The slide shows an example of how the cutoff date influences invoice item placement for account-level billing. The invoice item’s placement date is June 15th.  The available invoices have bill dates on the 10th and due dates on the 21st-</w:t>
        <w:br/>
        <w:br/>
        <w:t>If the payment plan's Item Placement Cutoff Date is set to Bill Date, the invoice item is placed on the July invoice- This is the first invoice whose cutoff date (the June 10th bill date) comes on or after the invoice item’s placement date  (June 15th).</w:t>
        <w:br/>
        <w:br/>
        <w:t>If the payment plan's Item Placement Cutoff Date is set to Due Date, the invoice item is placed on the June invoice- This is the first invoice whose cutoff date (the June 21st due date) comes on or after the invoice item’s placement date  (June 15th).</w:t>
        <w:br/>
        <w:br/>
        <w:t>Guidewire recommends that insurers using due date billing should use due date as the item placement cutoff and those using bill date billing should use bill date as the item placement cutoff. In the case of policy-level billing, the Fix Due Date/Bill Date &amp; Item Placement Cutoff Date setting on the payment plan controls both the method for scheduling invoice dates and the invoice item cutoff date- This means for policy-level billing, the two values are always synchronized.</w:t>
      </w:r>
    </w:p>
    <w:p>
      <w:pPr>
        <w:pStyle w:val="Heading3"/>
      </w:pPr>
      <w:r>
        <w:rPr>
          <w:sz w:val="24"/>
        </w:rPr>
        <w:t>Slide 19/32: (Untitled)</w:t>
      </w:r>
    </w:p>
    <w:p>
      <w:r>
        <w:rPr>
          <w:i/>
          <w:color w:val="888888"/>
        </w:rPr>
        <w:t>[Image placeholder]</w:t>
      </w:r>
    </w:p>
    <w:p>
      <w:pPr>
        <w:pStyle w:val="Heading3"/>
      </w:pPr>
      <w:r>
        <w:rPr>
          <w:sz w:val="24"/>
        </w:rPr>
        <w:t>Slide 20/32: (Untitled)</w:t>
      </w:r>
    </w:p>
    <w:p>
      <w:r>
        <w:rPr>
          <w:i/>
          <w:color w:val="888888"/>
        </w:rPr>
        <w:t>[Image placeholder]</w:t>
      </w:r>
    </w:p>
    <w:p>
      <w:pPr>
        <w:pStyle w:val="Heading3"/>
      </w:pPr>
      <w:r>
        <w:rPr>
          <w:sz w:val="24"/>
        </w:rPr>
        <w:t>Slide 21/32: (Untitled)</w:t>
      </w:r>
    </w:p>
    <w:p>
      <w:r>
        <w:rPr>
          <w:i/>
          <w:color w:val="888888"/>
        </w:rPr>
        <w:t>[Image placeholder]</w:t>
      </w:r>
    </w:p>
    <w:p>
      <w:pPr>
        <w:pStyle w:val="Heading3"/>
      </w:pPr>
      <w:r>
        <w:rPr>
          <w:sz w:val="24"/>
        </w:rPr>
        <w:t>Slide 22/32: (Untitled)</w:t>
      </w:r>
    </w:p>
    <w:p>
      <w:r>
        <w:rPr>
          <w:i/>
          <w:color w:val="888888"/>
        </w:rPr>
        <w:t>[Image placeholder]</w:t>
      </w:r>
    </w:p>
    <w:p>
      <w:pPr>
        <w:pStyle w:val="Heading3"/>
      </w:pPr>
      <w:r>
        <w:rPr>
          <w:sz w:val="24"/>
        </w:rPr>
        <w:t>Slide 23/32: (Untitled)</w:t>
      </w:r>
    </w:p>
    <w:p>
      <w:r>
        <w:rPr>
          <w:i/>
          <w:color w:val="888888"/>
        </w:rPr>
        <w:t>[Image placeholder]</w:t>
      </w:r>
    </w:p>
    <w:p>
      <w:pPr>
        <w:pStyle w:val="Heading3"/>
      </w:pPr>
      <w:r>
        <w:rPr>
          <w:sz w:val="24"/>
        </w:rPr>
        <w:t>Slide 24/32: (Untitled)</w:t>
      </w:r>
    </w:p>
    <w:p>
      <w:r>
        <w:rPr>
          <w:i/>
          <w:color w:val="888888"/>
        </w:rPr>
        <w:t>[Image placeholder]</w:t>
      </w:r>
    </w:p>
    <w:p>
      <w:pPr>
        <w:spacing w:before="80" w:after="80"/>
        <w:shd w:fill="E8E8E8" w:val="clear"/>
      </w:pPr>
      <w:r>
        <w:rPr>
          <w:i/>
          <w:color w:val="444444"/>
          <w:sz w:val="18"/>
        </w:rPr>
        <w:t>Speaker Notes: Setting the context</w:t>
        <w:br/>
        <w:t>Marcus wonders where BillingCenter initially places money received from a customer with account-level billing.</w:t>
        <w:br/>
        <w:br/>
        <w:t>Zhang replies that each account has only one unapplied fund,  which is called Default Unapplied.  There is no cash separation for accounts that use account-level billing.</w:t>
      </w:r>
    </w:p>
    <w:p>
      <w:pPr>
        <w:pStyle w:val="Heading3"/>
      </w:pPr>
      <w:r>
        <w:rPr>
          <w:sz w:val="24"/>
        </w:rPr>
        <w:t>Slide 25/32: (Untitled)</w:t>
      </w:r>
    </w:p>
    <w:p>
      <w:r>
        <w:rPr>
          <w:i/>
          <w:color w:val="888888"/>
        </w:rPr>
        <w:t>[Image placeholder]</w:t>
      </w:r>
    </w:p>
    <w:p>
      <w:pPr>
        <w:spacing w:before="80" w:after="80"/>
        <w:shd w:fill="E8E8E8" w:val="clear"/>
      </w:pPr>
      <w:r>
        <w:rPr>
          <w:i/>
          <w:color w:val="444444"/>
          <w:sz w:val="18"/>
        </w:rPr>
        <w:t>Speaker Notes: Only 1 unapplied fund for account- level billing</w:t>
        <w:br/>
        <w:t>All payments received by BillingCenter pass through an unapplied fund (T-account) before being allocated.</w:t>
        <w:br/>
        <w:br/>
        <w:t>An account that uses account- level billing has only one unapplied fund: Default Unapplied. BillingCenter uses any positive balance in the unapplied fund to pay eligible invoice items belonging to any policy for which the account is the payer. This includes policies owned and paid by this account,  account-level charges, and invoice items owned by other accounts or producers if they are assigned to this account for payment.</w:t>
        <w:br/>
        <w:br/>
        <w:t>An account that uses policy-level billing can have either a single Default Unapplied fund or a separate unapplied fund for each policy. This topic is covered in the BillingCenter Introduction— Kickstart course. You can also refer to the BillingCenter Application Guide for details.</w:t>
      </w:r>
    </w:p>
    <w:p>
      <w:pPr>
        <w:pStyle w:val="Heading3"/>
      </w:pPr>
      <w:r>
        <w:rPr>
          <w:sz w:val="24"/>
        </w:rPr>
        <w:t>Slide 26/32: (Untitled)</w:t>
      </w:r>
    </w:p>
    <w:p>
      <w:r>
        <w:rPr>
          <w:i/>
          <w:color w:val="888888"/>
        </w:rPr>
        <w:t>[Image placeholder]</w:t>
      </w:r>
    </w:p>
    <w:p>
      <w:pPr>
        <w:spacing w:before="80" w:after="80"/>
        <w:shd w:fill="E8E8E8" w:val="clear"/>
      </w:pPr>
      <w:r>
        <w:rPr>
          <w:i/>
          <w:color w:val="444444"/>
          <w:sz w:val="18"/>
        </w:rPr>
        <w:t>Speaker Notes: Direct Bill Payment screen shows 1 unapplied fund</w:t>
        <w:br/>
        <w:t>Because an account using account-level billing has only one unapplied fund, there is only one unapplied fund available on the Direct Bill Payment screen for the account. You cannot choose an unapplied fund (because there is only one).</w:t>
        <w:br/>
        <w:br/>
        <w:t>In the Distribution tab, all billed policy periods for which this account is the payer are listed by default.</w:t>
      </w:r>
    </w:p>
    <w:p>
      <w:pPr>
        <w:pStyle w:val="Heading3"/>
      </w:pPr>
      <w:r>
        <w:rPr>
          <w:sz w:val="24"/>
        </w:rPr>
        <w:t>Slide 27/32: (Untitled)</w:t>
      </w:r>
    </w:p>
    <w:p>
      <w:r>
        <w:rPr>
          <w:i/>
          <w:color w:val="888888"/>
        </w:rPr>
        <w:t>[Image placeholder]</w:t>
      </w:r>
    </w:p>
    <w:p>
      <w:pPr>
        <w:pStyle w:val="Heading3"/>
      </w:pPr>
      <w:r>
        <w:rPr>
          <w:sz w:val="24"/>
        </w:rPr>
        <w:t>Slide 28/32: (Untitled)</w:t>
      </w:r>
    </w:p>
    <w:p>
      <w:r>
        <w:rPr>
          <w:i/>
          <w:color w:val="888888"/>
        </w:rPr>
        <w:t>[Image placeholder]</w:t>
      </w:r>
    </w:p>
    <w:p>
      <w:pPr>
        <w:pStyle w:val="Heading3"/>
      </w:pPr>
      <w:r>
        <w:rPr>
          <w:sz w:val="24"/>
        </w:rPr>
        <w:t>Slide 29/32: (Untitled)</w:t>
      </w:r>
    </w:p>
    <w:p>
      <w:r>
        <w:rPr>
          <w:i/>
          <w:color w:val="888888"/>
        </w:rPr>
        <w:t>[Image placeholder]</w:t>
      </w:r>
    </w:p>
    <w:p>
      <w:pPr>
        <w:pStyle w:val="Heading3"/>
      </w:pPr>
      <w:r>
        <w:rPr>
          <w:sz w:val="24"/>
        </w:rPr>
        <w:t>Slide 30/32: (Untitled)</w:t>
      </w:r>
    </w:p>
    <w:p>
      <w:r>
        <w:rPr>
          <w:i/>
          <w:color w:val="888888"/>
        </w:rPr>
        <w:t>[Image placeholder]</w:t>
      </w:r>
    </w:p>
    <w:p>
      <w:pPr>
        <w:pStyle w:val="Heading3"/>
      </w:pPr>
      <w:r>
        <w:rPr>
          <w:sz w:val="24"/>
        </w:rPr>
        <w:t>Slide 31/32: (Untitled)</w:t>
      </w:r>
    </w:p>
    <w:p>
      <w:r>
        <w:rPr>
          <w:i/>
          <w:color w:val="888888"/>
        </w:rPr>
        <w:t>[Image placeholder]</w:t>
      </w:r>
    </w:p>
    <w:p>
      <w:pPr>
        <w:pStyle w:val="Heading3"/>
      </w:pPr>
      <w:r>
        <w:rPr>
          <w:sz w:val="24"/>
        </w:rPr>
        <w:t>Slide 32/32: (Untitled)</w:t>
      </w:r>
    </w:p>
    <w:p>
      <w:r>
        <w:rPr>
          <w:i/>
          <w:color w:val="888888"/>
        </w:rPr>
        <w:t>[Image placeholder]</w:t>
      </w:r>
    </w:p>
    <w:p>
      <w:pPr>
        <w:pStyle w:val="Heading2"/>
      </w:pPr>
      <w:r>
        <w:t>Assignment</w:t>
      </w:r>
    </w:p>
    <w:p>
      <w:r>
        <w:rPr>
          <w:b/>
          <w:color w:val="008800"/>
        </w:rPr>
        <w:t>[Assignment 17]: Billing at the Account Level</w:t>
      </w:r>
    </w:p>
    <w:p>
      <w:r>
        <w:rPr>
          <w:i/>
          <w:sz w:val="18"/>
        </w:rPr>
        <w:t>File: 17 - Billing at the Account Level.pdf</w:t>
      </w:r>
    </w:p>
    <w:p/>
    <w:p>
      <w:pPr>
        <w:spacing w:before="240"/>
        <w:jc w:val="center"/>
      </w:pPr>
      <w:r>
        <w:rPr>
          <w:i/>
          <w:color w:val="999999"/>
          <w:sz w:val="16"/>
        </w:rPr>
        <w:t>--- End of Lesson 17: Billing at the Account Level | 32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