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06: Billing Center Introduction</w:t>
      </w:r>
    </w:p>
    <w:p>
      <w:pPr>
        <w:pStyle w:val="Heading2"/>
      </w:pPr>
      <w:r>
        <w:rPr>
          <w:color w:val="333333"/>
          <w:sz w:val="28"/>
        </w:rPr>
        <w:t>Lesson 18: Designating an Alternate Payer</w:t>
      </w:r>
    </w:p>
    <w:p>
      <w:pPr>
        <w:spacing w:after="40"/>
      </w:pPr>
      <w:r>
        <w:rPr>
          <w:i/>
          <w:color w:val="999999"/>
          <w:sz w:val="16"/>
        </w:rPr>
        <w:t>Source: Designating an Alternate Payer.pptx</w:t>
      </w:r>
    </w:p>
    <w:p>
      <w:pPr>
        <w:pStyle w:val="Heading3"/>
      </w:pPr>
      <w:r>
        <w:t>Video References</w:t>
      </w:r>
    </w:p>
    <w:p>
      <w:pPr>
        <w:pStyle w:val="ListNumber"/>
      </w:pPr>
      <w:r>
        <w:rPr>
          <w:color w:val="0066CC"/>
          <w:sz w:val="20"/>
        </w:rPr>
        <w:t>[Video 1: Billing_18_01.mp4]</w:t>
      </w:r>
    </w:p>
    <w:p>
      <w:pPr>
        <w:pStyle w:val="ListNumber"/>
      </w:pPr>
      <w:r>
        <w:rPr>
          <w:color w:val="0066CC"/>
          <w:sz w:val="20"/>
        </w:rPr>
        <w:t>[Video 2: Billing_18_02.mp4]</w:t>
      </w:r>
    </w:p>
    <w:p/>
    <w:p>
      <w:pPr>
        <w:pStyle w:val="Heading2"/>
      </w:pPr>
      <w:r>
        <w:t>Slide Content</w:t>
      </w:r>
    </w:p>
    <w:p>
      <w:pPr>
        <w:pStyle w:val="Heading3"/>
      </w:pPr>
      <w:r>
        <w:rPr>
          <w:sz w:val="24"/>
        </w:rPr>
        <w:t>Slide 1/31: (Untitled)</w:t>
      </w:r>
    </w:p>
    <w:p>
      <w:r>
        <w:rPr>
          <w:i/>
          <w:color w:val="888888"/>
        </w:rPr>
        <w:t>[Image placeholder]</w:t>
      </w:r>
    </w:p>
    <w:p>
      <w:pPr>
        <w:pStyle w:val="Heading3"/>
      </w:pPr>
      <w:r>
        <w:rPr>
          <w:sz w:val="24"/>
        </w:rPr>
        <w:t>Slide 2/31: (Untitled)</w:t>
      </w:r>
    </w:p>
    <w:p>
      <w:r>
        <w:rPr>
          <w:i/>
          <w:color w:val="888888"/>
        </w:rPr>
        <w:t>[Image placeholder]</w:t>
      </w:r>
    </w:p>
    <w:p>
      <w:pPr>
        <w:pStyle w:val="Heading3"/>
      </w:pPr>
      <w:r>
        <w:rPr>
          <w:sz w:val="24"/>
        </w:rPr>
        <w:t>Slide 3/31: (Untitled)</w:t>
      </w:r>
    </w:p>
    <w:p>
      <w:r>
        <w:rPr>
          <w:i/>
          <w:color w:val="888888"/>
        </w:rPr>
        <w:t>[Image placeholder]</w:t>
      </w:r>
    </w:p>
    <w:p>
      <w:pPr>
        <w:spacing w:before="80" w:after="80"/>
        <w:shd w:fill="E8E8E8" w:val="clear"/>
      </w:pPr>
      <w:r>
        <w:rPr>
          <w:i/>
          <w:color w:val="444444"/>
          <w:sz w:val="18"/>
        </w:rPr>
        <w:t>Speaker Notes: Setting the context</w:t>
        <w:br/>
        <w:t>BillingCenter supports alternate payers through the use of overriding payers and list billaccounts.</w:t>
      </w:r>
    </w:p>
    <w:p>
      <w:pPr>
        <w:pStyle w:val="Heading3"/>
      </w:pPr>
      <w:r>
        <w:rPr>
          <w:sz w:val="24"/>
        </w:rPr>
        <w:t>Slide 4/31: (Untitled)</w:t>
      </w:r>
    </w:p>
    <w:p>
      <w:r>
        <w:rPr>
          <w:i/>
          <w:color w:val="888888"/>
        </w:rPr>
        <w:t>[Image placeholder]</w:t>
      </w:r>
    </w:p>
    <w:p>
      <w:pPr>
        <w:spacing w:before="80" w:after="80"/>
        <w:shd w:fill="E8E8E8" w:val="clear"/>
      </w:pPr>
      <w:r>
        <w:rPr>
          <w:i/>
          <w:color w:val="444444"/>
          <w:sz w:val="18"/>
        </w:rPr>
        <w:t>Speaker Notes: How BillingCenter supports alternate payers</w:t>
        <w:br/>
        <w:t>BillingCenter provides two ways to designate an alternate payer: overriding payers and list bill accounts.</w:t>
        <w:br/>
        <w:br/>
        <w:t>An overriding payer is an account that is responsible for paying for one or more charges on policies it does not own. The responsibility to pay is reassigned at the charge level.</w:t>
        <w:br/>
        <w:br/>
        <w:t>A list bill payer is an account that is responsible for paying for all charges on one or more policies it does not own. With list bill accounts, the responsibility to pay is reassigned at the policy level. A list bill account must have an account type of List Bill.  List bill accounts have additional restrictions, which are described later in this lesson.</w:t>
      </w:r>
    </w:p>
    <w:p>
      <w:pPr>
        <w:pStyle w:val="Heading3"/>
      </w:pPr>
      <w:r>
        <w:rPr>
          <w:sz w:val="24"/>
        </w:rPr>
        <w:t>Slide 5/31: (Untitled)</w:t>
      </w:r>
    </w:p>
    <w:p>
      <w:r>
        <w:rPr>
          <w:i/>
          <w:color w:val="888888"/>
        </w:rPr>
        <w:t>[Image placeholder]</w:t>
      </w:r>
    </w:p>
    <w:p>
      <w:pPr>
        <w:spacing w:before="80" w:after="80"/>
        <w:shd w:fill="E8E8E8" w:val="clear"/>
      </w:pPr>
      <w:r>
        <w:rPr>
          <w:i/>
          <w:color w:val="444444"/>
          <w:sz w:val="18"/>
        </w:rPr>
        <w:t>Speaker Notes: Overriding payer example I</w:t>
        <w:br/>
        <w:t>The slide shows an example of a company with b,vo offices. Each offce has a commercial property policy. The premium charges for each policy are sliced into invoice items and placed on invoices in the invoice stream for the corresponding office. The tax charges for both policies are sliced into invoice items and placed on invoices in the invoice stream for an overriding payer, the HQ account.</w:t>
        <w:br/>
        <w:br/>
        <w:t>In this example, the charges on a single billing instruction were sliced into invoice items that were then placed into different invoice streams.</w:t>
      </w:r>
    </w:p>
    <w:p>
      <w:pPr>
        <w:pStyle w:val="Heading3"/>
      </w:pPr>
      <w:r>
        <w:rPr>
          <w:sz w:val="24"/>
        </w:rPr>
        <w:t>Slide 6/31: (Untitled)</w:t>
      </w:r>
    </w:p>
    <w:p>
      <w:r>
        <w:rPr>
          <w:i/>
          <w:color w:val="888888"/>
        </w:rPr>
        <w:t>[Image placeholder]</w:t>
      </w:r>
    </w:p>
    <w:p>
      <w:pPr>
        <w:spacing w:before="80" w:after="80"/>
        <w:shd w:fill="E8E8E8" w:val="clear"/>
      </w:pPr>
      <w:r>
        <w:rPr>
          <w:i/>
          <w:color w:val="444444"/>
          <w:sz w:val="18"/>
        </w:rPr>
        <w:t>Speaker Notes: Overriding payer example 2</w:t>
        <w:br/>
        <w:t>The slide shows another example of a company with two offices. The Northern and Southern offces have commercial property policies. The Central office pays all charges for both policies.</w:t>
        <w:br/>
        <w:br/>
        <w:t>In this case, for each policy, the charges are sliced into invoice items that are placed on invoices in the invoice stream of theoverriding payer, Central.  Northern and Southern are never invoiced directly by BillingCenter-</w:t>
      </w:r>
    </w:p>
    <w:p>
      <w:pPr>
        <w:pStyle w:val="Heading3"/>
      </w:pPr>
      <w:r>
        <w:rPr>
          <w:sz w:val="24"/>
        </w:rPr>
        <w:t>Slide 7/31: (Untitled)</w:t>
      </w:r>
    </w:p>
    <w:p>
      <w:r>
        <w:rPr>
          <w:i/>
          <w:color w:val="888888"/>
        </w:rPr>
        <w:t>[Image placeholder]</w:t>
      </w:r>
    </w:p>
    <w:p>
      <w:pPr>
        <w:pStyle w:val="Heading3"/>
      </w:pPr>
      <w:r>
        <w:rPr>
          <w:sz w:val="24"/>
        </w:rPr>
        <w:t>Slide 8/31: (Untitled)</w:t>
      </w:r>
    </w:p>
    <w:p>
      <w:pPr>
        <w:pStyle w:val="Heading3"/>
      </w:pPr>
      <w:r>
        <w:rPr>
          <w:sz w:val="24"/>
        </w:rPr>
        <w:t>Slide 9/31: (Untitled)</w:t>
      </w:r>
    </w:p>
    <w:p>
      <w:r>
        <w:rPr>
          <w:i/>
          <w:color w:val="888888"/>
        </w:rPr>
        <w:t>[Image placeholder]</w:t>
      </w:r>
    </w:p>
    <w:p>
      <w:pPr>
        <w:spacing w:before="80" w:after="80"/>
        <w:shd w:fill="E8E8E8" w:val="clear"/>
      </w:pPr>
      <w:r>
        <w:rPr>
          <w:i/>
          <w:color w:val="444444"/>
          <w:sz w:val="18"/>
        </w:rPr>
        <w:t>Speaker Notes: Setting the context</w:t>
        <w:br/>
        <w:t>Marcus comments that alternate payers provide a way to implement situations such as an employer making a single payment to cover the premiums of several employees. Marciagrees.</w:t>
      </w:r>
    </w:p>
    <w:p>
      <w:pPr>
        <w:pStyle w:val="Heading3"/>
      </w:pPr>
      <w:r>
        <w:rPr>
          <w:sz w:val="24"/>
        </w:rPr>
        <w:t>Slide 10/31: (Untitled)</w:t>
      </w:r>
    </w:p>
    <w:p>
      <w:r>
        <w:rPr>
          <w:i/>
          <w:color w:val="888888"/>
        </w:rPr>
        <w:t>[Image placeholder]</w:t>
      </w:r>
    </w:p>
    <w:p>
      <w:pPr>
        <w:spacing w:before="80" w:after="80"/>
        <w:shd w:fill="E8E8E8" w:val="clear"/>
      </w:pPr>
      <w:r>
        <w:rPr>
          <w:i/>
          <w:color w:val="444444"/>
          <w:sz w:val="18"/>
        </w:rPr>
        <w:t>Speaker Notes: A payroll deduct example (1 of 3)</w:t>
        <w:br/>
        <w:t>The slide discusses the example of a large employer paying premiums on its employees’ personal line insurance policies.  With payroll deduct, the insurer sends a single invoice to the employer rather than separate invoices to each of the policyholders.</w:t>
        <w:br/>
        <w:br/>
        <w:t>Both the employees and the insurer benefit</w:t>
        <w:br/>
        <w:br/>
        <w:t>Employees enjoy discounted insurance with the convenience of no extra bills to pay.</w:t>
        <w:br/>
        <w:br/>
        <w:t>The insurer benefits from a more predictable cash flow,  reduced operational costs,  and reduced likelihood of returned checks. Also,  typically the premium is collected early.</w:t>
      </w:r>
    </w:p>
    <w:p>
      <w:pPr>
        <w:pStyle w:val="Heading3"/>
      </w:pPr>
      <w:r>
        <w:rPr>
          <w:sz w:val="24"/>
        </w:rPr>
        <w:t>Slide 11/31: (Untitled)</w:t>
      </w:r>
    </w:p>
    <w:p>
      <w:r>
        <w:rPr>
          <w:i/>
          <w:color w:val="888888"/>
        </w:rPr>
        <w:t>[Image placeholder]</w:t>
      </w:r>
    </w:p>
    <w:p>
      <w:pPr>
        <w:spacing w:before="80" w:after="80"/>
        <w:shd w:fill="E8E8E8" w:val="clear"/>
      </w:pPr>
      <w:r>
        <w:rPr>
          <w:i/>
          <w:color w:val="444444"/>
          <w:sz w:val="18"/>
        </w:rPr>
        <w:t>Speaker Notes: A payroll deduct example (2 of 3)</w:t>
        <w:br/>
        <w:t>The slide shows a payroll deduction example, where the employer deducts insurance premiums from the salaries of employees who are enrolled in a given insurance plan. The employer then sends a single payment to the insurer to pay the premiums of the employees in the plan.</w:t>
        <w:br/>
        <w:br/>
        <w:t>Another similar example is a mortgage bank, where mortgage holders pay their homeowner’s insurance premiums to the bank.  The bank in turn sends a single payment to the insurer to pay the premiums of the mortgage holders. This approach ensures the properties are covered by homeowner's insurance policies in good standing.</w:t>
        <w:br/>
        <w:br/>
        <w:t>In both payroll deduct and mortgage bank examples, there are three parties with interest in the billing of the policy: the insurer, the insured, and the payer, which is typically either a bank or an employer of the insured.</w:t>
        <w:br/>
        <w:br/>
        <w:t>Some configuration and integration is required to fully implement the examples described above.</w:t>
      </w:r>
    </w:p>
    <w:p>
      <w:pPr>
        <w:pStyle w:val="Heading3"/>
      </w:pPr>
      <w:r>
        <w:rPr>
          <w:sz w:val="24"/>
        </w:rPr>
        <w:t>Slide 12/31: (Untitled)</w:t>
      </w:r>
    </w:p>
    <w:p>
      <w:r>
        <w:rPr>
          <w:i/>
          <w:color w:val="888888"/>
        </w:rPr>
        <w:t>[Image placeholder]</w:t>
      </w:r>
    </w:p>
    <w:p>
      <w:pPr>
        <w:spacing w:before="80" w:after="80"/>
        <w:shd w:fill="E8E8E8" w:val="clear"/>
      </w:pPr>
      <w:r>
        <w:rPr>
          <w:i/>
          <w:color w:val="444444"/>
          <w:sz w:val="18"/>
        </w:rPr>
        <w:t>Speaker Notes: A payroll deduct example (3 of 3)</w:t>
        <w:br/>
        <w:t>The payroll deduct example can be implemented using either an overriding payer or a list bill account. In both cases, a single payer (Big Employer in the diagram) is billed for all charges on the policies. The policyholders ("owner" accounts) are never invoiced by BillingCenter-</w:t>
      </w:r>
    </w:p>
    <w:p>
      <w:pPr>
        <w:pStyle w:val="Heading3"/>
      </w:pPr>
      <w:r>
        <w:rPr>
          <w:sz w:val="24"/>
        </w:rPr>
        <w:t>Slide 13/31: (Untitled)</w:t>
      </w:r>
    </w:p>
    <w:p>
      <w:r>
        <w:rPr>
          <w:i/>
          <w:color w:val="888888"/>
        </w:rPr>
        <w:t>[Image placeholder]</w:t>
      </w:r>
    </w:p>
    <w:p>
      <w:pPr>
        <w:spacing w:before="80" w:after="80"/>
        <w:shd w:fill="E8E8E8" w:val="clear"/>
      </w:pPr>
      <w:r>
        <w:rPr>
          <w:i/>
          <w:color w:val="444444"/>
          <w:sz w:val="18"/>
        </w:rPr>
        <w:t>Speaker Notes: Setting the context</w:t>
        <w:br/>
        <w:t>Marcus wants to know which type of alternate payer would be best for the employee payroll deduct scenario. Marci suggests learning more about list bill before discussing which alternate payer to choose.</w:t>
      </w:r>
    </w:p>
    <w:p>
      <w:pPr>
        <w:pStyle w:val="Heading3"/>
      </w:pPr>
      <w:r>
        <w:rPr>
          <w:sz w:val="24"/>
        </w:rPr>
        <w:t>Slide 14/31: (Untitled)</w:t>
      </w:r>
    </w:p>
    <w:p>
      <w:r>
        <w:rPr>
          <w:i/>
          <w:color w:val="888888"/>
        </w:rPr>
        <w:t>[Image placeholder]</w:t>
      </w:r>
    </w:p>
    <w:p>
      <w:pPr>
        <w:spacing w:before="80" w:after="80"/>
        <w:shd w:fill="E8E8E8" w:val="clear"/>
      </w:pPr>
      <w:r>
        <w:rPr>
          <w:i/>
          <w:color w:val="444444"/>
          <w:sz w:val="18"/>
        </w:rPr>
        <w:t>Speaker Notes: Special behaviors of list bill accounts (1 of 2)</w:t>
        <w:br/>
        <w:t>List bill is designed to handle cases where a non-producer is responsible for paying for the policies of a large number of insureds-</w:t>
        <w:br/>
        <w:br/>
        <w:t>A list bill account is primarily distinguished in BillingCenter by its account type, which is List Bill, and the requirement that it has a predefined list of payment plans that it supports- A list bill account is the only account type that is restricted to using a limited set of payment plans, which are specified when the list bill account is created.</w:t>
        <w:br/>
        <w:br/>
        <w:t>List bill accounts also have a predefined set of invoice streams with periodicities that support the payment intervals of the predefined set of payment plans. BillingCenter does not dynamically create any invoice streams for list bill policies. However, you can add invoice streams and payment plans to an existing list bill account.</w:t>
        <w:br/>
        <w:br/>
        <w:t>List bill accounts do not represent actual insureds (instead, they pay for policies owned by someone else)- For this reason, a list bill account in BillingCenter cannot own policies and has no collateral requirements. List bill accounts are blocked in both the IJI and API from owning policies and from containing collateral.</w:t>
        <w:br/>
        <w:br/>
        <w:t>List bill accounts are implemented using account- level billing- You cannot create a list bill account that uses policy-level billing.</w:t>
        <w:br/>
        <w:br/>
        <w:t>You cannot change the type of an account, so once a list bill account, always a list bill account. You also cannot convert a non-list bill account into a list bill account.</w:t>
      </w:r>
    </w:p>
    <w:p>
      <w:pPr>
        <w:pStyle w:val="Heading3"/>
      </w:pPr>
      <w:r>
        <w:rPr>
          <w:sz w:val="24"/>
        </w:rPr>
        <w:t>Slide 15/31: (Untitled)</w:t>
      </w:r>
    </w:p>
    <w:p>
      <w:r>
        <w:rPr>
          <w:i/>
          <w:color w:val="888888"/>
        </w:rPr>
        <w:t>[Image placeholder]</w:t>
      </w:r>
    </w:p>
    <w:p>
      <w:pPr>
        <w:spacing w:before="80" w:after="80"/>
        <w:shd w:fill="E8E8E8" w:val="clear"/>
      </w:pPr>
      <w:r>
        <w:rPr>
          <w:i/>
          <w:color w:val="444444"/>
          <w:sz w:val="18"/>
        </w:rPr>
        <w:t>Speaker Notes: Special behaviors of list bill accounts (2 of 2)</w:t>
        <w:br/>
        <w:t>List bill payers already have a set way that they pay the insurer. Take the example of an employer that pays employees twice a month on the fifteenth and the last day of the month. In this case, the list bill payer needs only one payment plan and one invoice stream to match the employers payroll.</w:t>
        <w:br/>
        <w:br/>
        <w:t>Some companies offer different payment choices for separate payment types. As an example, assume a policyholder pays a mortgage on a monthly basis and a homeowner's insurance premium on a quarterly basis. In such cases, separate payment plans and invoice streams can be specified for the two payment types.</w:t>
      </w:r>
    </w:p>
    <w:p>
      <w:pPr>
        <w:pStyle w:val="Heading3"/>
      </w:pPr>
      <w:r>
        <w:rPr>
          <w:sz w:val="24"/>
        </w:rPr>
        <w:t>Slide 16/31: (Untitled)</w:t>
      </w:r>
    </w:p>
    <w:p>
      <w:r>
        <w:rPr>
          <w:i/>
          <w:color w:val="888888"/>
        </w:rPr>
        <w:t>[Image placeholder]</w:t>
      </w:r>
    </w:p>
    <w:p>
      <w:pPr>
        <w:pStyle w:val="Heading3"/>
      </w:pPr>
      <w:r>
        <w:rPr>
          <w:sz w:val="24"/>
        </w:rPr>
        <w:t>Slide 17/31: (Untitled)</w:t>
      </w:r>
    </w:p>
    <w:p>
      <w:r>
        <w:rPr>
          <w:i/>
          <w:color w:val="888888"/>
        </w:rPr>
        <w:t>[Image placeholder]</w:t>
      </w:r>
    </w:p>
    <w:p>
      <w:pPr>
        <w:pStyle w:val="Heading3"/>
      </w:pPr>
      <w:r>
        <w:rPr>
          <w:sz w:val="24"/>
        </w:rPr>
        <w:t>Slide 18/31: (Untitled)</w:t>
      </w:r>
    </w:p>
    <w:p>
      <w:r>
        <w:rPr>
          <w:i/>
          <w:color w:val="888888"/>
        </w:rPr>
        <w:t>[Image placeholder]</w:t>
      </w:r>
    </w:p>
    <w:p>
      <w:pPr>
        <w:pStyle w:val="Heading3"/>
      </w:pPr>
      <w:r>
        <w:rPr>
          <w:sz w:val="24"/>
        </w:rPr>
        <w:t>Slide 19/31: (Untitled)</w:t>
      </w:r>
    </w:p>
    <w:p>
      <w:r>
        <w:rPr>
          <w:i/>
          <w:color w:val="888888"/>
        </w:rPr>
        <w:t>[Image placeholder]</w:t>
      </w:r>
    </w:p>
    <w:p>
      <w:pPr>
        <w:pStyle w:val="Heading3"/>
      </w:pPr>
      <w:r>
        <w:rPr>
          <w:sz w:val="24"/>
        </w:rPr>
        <w:t>Slide 20/31: (Untitled)</w:t>
      </w:r>
    </w:p>
    <w:p>
      <w:r>
        <w:rPr>
          <w:i/>
          <w:color w:val="888888"/>
        </w:rPr>
        <w:t>[Image placeholder]</w:t>
      </w:r>
    </w:p>
    <w:p>
      <w:pPr>
        <w:spacing w:before="80" w:after="80"/>
        <w:shd w:fill="E8E8E8" w:val="clear"/>
      </w:pPr>
      <w:r>
        <w:rPr>
          <w:i/>
          <w:color w:val="444444"/>
          <w:sz w:val="18"/>
        </w:rPr>
        <w:t>Speaker Notes: Creating a new list bill policy (for testing purposes)</w:t>
        <w:br/>
        <w:t>To test a list bill account, you need to add some list bill policies. The policy must have a billing method of List Bill and an Overriding Payer Account that is a list bill account. You also need to select a payment plan and an invoice stream for the new policy. The New Policy wizard restricts your selection to payment plans and invoice streams that are associated with the List Bill payer account.</w:t>
        <w:br/>
        <w:br/>
        <w:t>Note: There is a limit to how many policies you can put on a list bill account without compromising performance. See the BillingCenter Application Guide for details.</w:t>
      </w:r>
    </w:p>
    <w:p>
      <w:pPr>
        <w:pStyle w:val="Heading3"/>
      </w:pPr>
      <w:r>
        <w:rPr>
          <w:sz w:val="24"/>
        </w:rPr>
        <w:t>Slide 21/31: (Untitled)</w:t>
      </w:r>
    </w:p>
    <w:p>
      <w:r>
        <w:rPr>
          <w:i/>
          <w:color w:val="888888"/>
        </w:rPr>
        <w:t>[Image placeholder]</w:t>
      </w:r>
    </w:p>
    <w:p>
      <w:pPr>
        <w:pStyle w:val="Heading3"/>
      </w:pPr>
      <w:r>
        <w:rPr>
          <w:sz w:val="24"/>
        </w:rPr>
        <w:t>Slide 22/31: (Untitled)</w:t>
      </w:r>
    </w:p>
    <w:p>
      <w:pPr>
        <w:pStyle w:val="Heading3"/>
      </w:pPr>
      <w:r>
        <w:rPr>
          <w:sz w:val="24"/>
        </w:rPr>
        <w:t>Slide 23/31: (Untitled)</w:t>
      </w:r>
    </w:p>
    <w:p>
      <w:r>
        <w:rPr>
          <w:i/>
          <w:color w:val="888888"/>
        </w:rPr>
        <w:t>[Image placeholder]</w:t>
      </w:r>
    </w:p>
    <w:p>
      <w:pPr>
        <w:spacing w:before="80" w:after="80"/>
        <w:shd w:fill="E8E8E8" w:val="clear"/>
      </w:pPr>
      <w:r>
        <w:rPr>
          <w:i/>
          <w:color w:val="444444"/>
          <w:sz w:val="18"/>
        </w:rPr>
        <w:t>Speaker Notes: Setting the context</w:t>
        <w:br/>
        <w:t>Now that Marcus knows how to create and test a list bill policy, he wants to know how BillingCenter handles payments for list bill policies. Marci replies that usually a billing clerk uses the Multiple Payment Entry wizard to record payments.</w:t>
      </w:r>
    </w:p>
    <w:p>
      <w:pPr>
        <w:pStyle w:val="Heading3"/>
      </w:pPr>
      <w:r>
        <w:rPr>
          <w:sz w:val="24"/>
        </w:rPr>
        <w:t>Slide 24/31: (Untitled)</w:t>
      </w:r>
    </w:p>
    <w:p>
      <w:r>
        <w:rPr>
          <w:i/>
          <w:color w:val="888888"/>
        </w:rPr>
        <w:t>[Image placeholder]</w:t>
      </w:r>
    </w:p>
    <w:p>
      <w:pPr>
        <w:spacing w:before="80" w:after="80"/>
        <w:shd w:fill="E8E8E8" w:val="clear"/>
      </w:pPr>
      <w:r>
        <w:rPr>
          <w:i/>
          <w:color w:val="444444"/>
          <w:sz w:val="18"/>
        </w:rPr>
        <w:t>Speaker Notes: Recording list bill/overriding payer payments</w:t>
        <w:br/>
        <w:t>Whenever there is a single payment for a large number of policies, the insurer can experience difficulty in reconciling mistakes. It is easier and faster to divide a large payment into smaller payments and then allocate the smaller payments. Using the Multiple Payment Entry wizard, a billing clerk can specify payment allocation to each target account, policy, or invoice.</w:t>
        <w:br/>
        <w:br/>
        <w:t>If a list bill payment is recorded as a single payment, the payment is allocated by any of the four batch processes that allocate payments.</w:t>
      </w:r>
    </w:p>
    <w:p>
      <w:pPr>
        <w:pStyle w:val="Heading3"/>
      </w:pPr>
      <w:r>
        <w:rPr>
          <w:sz w:val="24"/>
        </w:rPr>
        <w:t>Slide 25/31: (Untitled)</w:t>
      </w:r>
    </w:p>
    <w:p>
      <w:r>
        <w:rPr>
          <w:i/>
          <w:color w:val="888888"/>
        </w:rPr>
        <w:t>[Image placeholder]</w:t>
      </w:r>
    </w:p>
    <w:p>
      <w:pPr>
        <w:spacing w:before="80" w:after="80"/>
        <w:shd w:fill="E8E8E8" w:val="clear"/>
      </w:pPr>
      <w:r>
        <w:rPr>
          <w:i/>
          <w:color w:val="444444"/>
          <w:sz w:val="18"/>
        </w:rPr>
        <w:t>Speaker Notes: Handling credit distribution for list bill accounts</w:t>
        <w:br/>
        <w:t>BillingCenter always uses the return premium plan associated with a policy period to allocate credits (if any) for the policy period. The return premium plan has a field called List Bill Account Excess, which applies to list bill accounts only. The List Bill Account Excess setting determines whether the money for a credit should be placed in the policyholder's unapplied fund or the list bill payer's unapplied fund.</w:t>
        <w:br/>
        <w:br/>
        <w:t>For non-list bill accounts, the destination for remaining unallocated credits is specified by the Excess Treatment field in the individual return premium handling schemes.</w:t>
      </w:r>
    </w:p>
    <w:p>
      <w:pPr>
        <w:pStyle w:val="Heading3"/>
      </w:pPr>
      <w:r>
        <w:rPr>
          <w:sz w:val="24"/>
        </w:rPr>
        <w:t>Slide 26/31: (Untitled)</w:t>
      </w:r>
    </w:p>
    <w:p>
      <w:r>
        <w:rPr>
          <w:i/>
          <w:color w:val="888888"/>
        </w:rPr>
        <w:t>[Image placeholder]</w:t>
      </w:r>
    </w:p>
    <w:p>
      <w:pPr>
        <w:spacing w:before="80" w:after="80"/>
        <w:shd w:fill="E8E8E8" w:val="clear"/>
      </w:pPr>
      <w:r>
        <w:rPr>
          <w:i/>
          <w:color w:val="444444"/>
          <w:sz w:val="18"/>
        </w:rPr>
        <w:t>Speaker Notes: Altemate payers and delinquency</w:t>
        <w:br/>
        <w:t>All accounts, including list bill accounts, must have a delinquency plan. However, when a list bill policy is past due, BillingCenter automatically initiates a Past Due delinquency for the policy and the account that owns the policy. The delinquency alert bar is shown on the Policy Summary and Policy Details screens and on the owner's Account Summary and Account Details screens. It does not appear on the list bill account's Account Summary and Account Details screens. Similarly, an overriding payer account does not become delinquent when any policy whose charges it pays becomes delinquent.</w:t>
        <w:br/>
        <w:br/>
        <w:t>Note: A past-due delinquency can be triggered on a list bill account by non-payment of an account- level charge on the list bill account. Account-level charges should be avoided on list bill accounts.</w:t>
        <w:br/>
        <w:br/>
        <w:t>The list bill payer (not the insurer) is responsible for maintaining the relationship with policy owners (policyholders) of the list bill policies. For this reason, the list bill payer typically handles any delinquencies for the associated list bill accounts and policies.</w:t>
      </w:r>
    </w:p>
    <w:p>
      <w:pPr>
        <w:pStyle w:val="Heading3"/>
      </w:pPr>
      <w:r>
        <w:rPr>
          <w:sz w:val="24"/>
        </w:rPr>
        <w:t>Slide 27/31: (Untitled)</w:t>
      </w:r>
    </w:p>
    <w:p>
      <w:r>
        <w:rPr>
          <w:i/>
          <w:color w:val="888888"/>
        </w:rPr>
        <w:t>[Image placeholder]</w:t>
      </w:r>
    </w:p>
    <w:p>
      <w:pPr>
        <w:spacing w:before="80" w:after="80"/>
        <w:shd w:fill="E8E8E8" w:val="clear"/>
      </w:pPr>
      <w:r>
        <w:rPr>
          <w:i/>
          <w:color w:val="444444"/>
          <w:sz w:val="18"/>
        </w:rPr>
        <w:t>Speaker Notes: Setting the context</w:t>
        <w:br/>
        <w:t>Marci is ready to discuss guidelines for deciding which type of alternate payer to use.</w:t>
      </w:r>
    </w:p>
    <w:p>
      <w:pPr>
        <w:pStyle w:val="Heading3"/>
      </w:pPr>
      <w:r>
        <w:rPr>
          <w:sz w:val="24"/>
        </w:rPr>
        <w:t>Slide 28/31: (Untitled)</w:t>
      </w:r>
    </w:p>
    <w:p>
      <w:r>
        <w:rPr>
          <w:i/>
          <w:color w:val="888888"/>
        </w:rPr>
        <w:t>[Image placeholder]</w:t>
      </w:r>
    </w:p>
    <w:p>
      <w:pPr>
        <w:spacing w:before="80" w:after="80"/>
        <w:shd w:fill="E8E8E8" w:val="clear"/>
      </w:pPr>
      <w:r>
        <w:rPr>
          <w:i/>
          <w:color w:val="444444"/>
          <w:sz w:val="18"/>
        </w:rPr>
        <w:t>Speaker Notes: Determining which type of alternate payer to use</w:t>
        <w:br/>
        <w:t>The slide presents very basic guidelines for determining which type of alternate payer to use. Generally, Guidewire recommends using list bill accounts because list bill accounts have performance enhancements that overriding payers do not. However, a list bill account cannot own policies. If the paying account must own its own policies in addition to paying for other accounts' policies, you must use overriding payers.  When a single policy requires multiple payers, the policy must make use of overriding payers.  List bill cannot be used because this billing method assigns the entire policy to an alternate payer.</w:t>
        <w:br/>
        <w:br/>
        <w:t>If the alternate payer is responsible for paying fewer than 50 policies, you could use either a list bill payer or an overriding payer. The billing method on each policy must be set to List Bill if you use a list bill payer The billing method on each policy must be set to Direct Bill if you use an overriding payer.</w:t>
      </w:r>
    </w:p>
    <w:p>
      <w:pPr>
        <w:pStyle w:val="Heading3"/>
      </w:pPr>
      <w:r>
        <w:rPr>
          <w:sz w:val="24"/>
        </w:rPr>
        <w:t>Slide 29/31: (Untitled)</w:t>
      </w:r>
    </w:p>
    <w:p>
      <w:r>
        <w:rPr>
          <w:i/>
          <w:color w:val="888888"/>
        </w:rPr>
        <w:t>[Image placeholder]</w:t>
      </w:r>
    </w:p>
    <w:p>
      <w:pPr>
        <w:spacing w:before="80" w:after="80"/>
        <w:shd w:fill="E8E8E8" w:val="clear"/>
      </w:pPr>
      <w:r>
        <w:rPr>
          <w:i/>
          <w:color w:val="444444"/>
          <w:sz w:val="18"/>
        </w:rPr>
        <w:t>Speaker Notes: Performance considerations for alternate payers</w:t>
        <w:br/>
        <w:t>A mega payer account is a single account that pays for thousands of policies. Mega payer accounts can compromise performance and complicate payment and commission processing. BillingCenter cannot maintain good performance when a single payer account is responsible for thousands of policies. For this reason, you should consult your Guidewire Customer Support representative before implementing list bill.</w:t>
        <w:br/>
        <w:br/>
        <w:t xml:space="preserve">Refer to the "Optimizing performance for list bill accounts" topic in the BillingCenter Configuration Guide for details. </w:t>
        <w:br/>
        <w:br/>
        <w:t>A possible solution is to create a hierarchy of parent and child list bill or overriding payer accounts. The policie are then distributed across the child list bill/overriding payer accounts. Consolidated invoices can be generated as required at the parent account level.</w:t>
        <w:br/>
        <w:br/>
        <w:t xml:space="preserve">Take the example of a national business entity with a large number of policies.  Associating all of those policies with a single list bill account can compromise performance. Performance improves when the policies are distributed across multiple accounts, such as a payer account for each region in which the business entity operates. Whenever BillingCenter interacts with a regional account, it needs to load only the policies assigned to that region. </w:t>
        <w:br/>
        <w:br/>
        <w:t xml:space="preserve">For more information about select the correct alternate payer approach, refer to the 'Designating an Alternate Payer' chapter in the BillingCenterApplication Guide.  </w:t>
        <w:br/>
        <w:br/>
        <w:t>Guidewire recommends that customers use the Payment Batch accelerator to help them configure batcpayment processing- The key feature of the accelerator is a payment screen that has the capability of saving a batch of payments in a draft state during the entry process to allow for research and reconciliation.</w:t>
      </w:r>
    </w:p>
    <w:p>
      <w:pPr>
        <w:pStyle w:val="Heading3"/>
      </w:pPr>
      <w:r>
        <w:rPr>
          <w:sz w:val="24"/>
        </w:rPr>
        <w:t>Slide 30/31: (Untitled)</w:t>
      </w:r>
    </w:p>
    <w:p>
      <w:r>
        <w:rPr>
          <w:i/>
          <w:color w:val="888888"/>
        </w:rPr>
        <w:t>[Image placeholder]</w:t>
      </w:r>
    </w:p>
    <w:p>
      <w:pPr>
        <w:pStyle w:val="Heading3"/>
      </w:pPr>
      <w:r>
        <w:rPr>
          <w:sz w:val="24"/>
        </w:rPr>
        <w:t>Slide 31/31: (Untitled)</w:t>
      </w:r>
    </w:p>
    <w:p>
      <w:r>
        <w:rPr>
          <w:i/>
          <w:color w:val="888888"/>
        </w:rPr>
        <w:t>[Image placeholder]</w:t>
      </w:r>
    </w:p>
    <w:p>
      <w:pPr>
        <w:pStyle w:val="Heading2"/>
      </w:pPr>
      <w:r>
        <w:t>Assignment</w:t>
      </w:r>
    </w:p>
    <w:p>
      <w:r>
        <w:rPr>
          <w:b/>
          <w:color w:val="008800"/>
        </w:rPr>
        <w:t>[Assignment 18]: Designating an Alternate Payer</w:t>
      </w:r>
    </w:p>
    <w:p>
      <w:r>
        <w:rPr>
          <w:i/>
          <w:sz w:val="18"/>
        </w:rPr>
        <w:t>File: 18 - Designating an Alternate Payer.pdf</w:t>
      </w:r>
    </w:p>
    <w:p/>
    <w:p>
      <w:pPr>
        <w:spacing w:before="240"/>
        <w:jc w:val="center"/>
      </w:pPr>
      <w:r>
        <w:rPr>
          <w:i/>
          <w:color w:val="999999"/>
          <w:sz w:val="16"/>
        </w:rPr>
        <w:t>--- End of Lesson 18: Designating an Alternate Payer | 31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