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1: Introduction to Guidewire Configuration</w:t>
      </w:r>
    </w:p>
    <w:p>
      <w:pPr>
        <w:spacing w:after="40"/>
      </w:pPr>
      <w:r>
        <w:rPr>
          <w:i/>
          <w:color w:val="999999"/>
          <w:sz w:val="16"/>
        </w:rPr>
        <w:t>Source: IS_Fund_01 - Introduction to Guidewire Configuration.pptm</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1/43: (Untitled)</w:t>
      </w:r>
    </w:p>
    <w:p>
      <w:r>
        <w:rPr>
          <w:i/>
          <w:color w:val="888888"/>
        </w:rPr>
        <w:t>[Image placeholder]</w:t>
      </w:r>
    </w:p>
    <w:p>
      <w:pPr>
        <w:pStyle w:val="Heading3"/>
      </w:pPr>
      <w:r>
        <w:rPr>
          <w:sz w:val="24"/>
        </w:rPr>
        <w:t>Slide 2/43: (Untitled)</w:t>
      </w:r>
    </w:p>
    <w:p>
      <w:r>
        <w:rPr>
          <w:i/>
          <w:color w:val="888888"/>
        </w:rPr>
        <w:t>[Image placeholder]</w:t>
      </w:r>
    </w:p>
    <w:p>
      <w:pPr>
        <w:pStyle w:val="Heading3"/>
      </w:pPr>
      <w:r>
        <w:rPr>
          <w:sz w:val="24"/>
        </w:rPr>
        <w:t>Slide 3/43: (Untitled)</w:t>
      </w:r>
    </w:p>
    <w:p>
      <w:r>
        <w:rPr>
          <w:i/>
          <w:color w:val="888888"/>
        </w:rPr>
        <w:t>[Image placeholder]</w:t>
      </w:r>
    </w:p>
    <w:p>
      <w:pPr>
        <w:pStyle w:val="Heading3"/>
      </w:pPr>
      <w:r>
        <w:rPr>
          <w:sz w:val="24"/>
        </w:rPr>
        <w:t>Slide 4/43: (Untitled)</w:t>
      </w:r>
    </w:p>
    <w:p>
      <w:r>
        <w:rPr>
          <w:i/>
          <w:color w:val="888888"/>
        </w:rPr>
        <w:t>[Image placeholder]</w:t>
      </w:r>
    </w:p>
    <w:p>
      <w:pPr>
        <w:spacing w:before="80" w:after="80"/>
        <w:shd w:fill="E8E8E8" w:val="clear"/>
      </w:pPr>
      <w:r>
        <w:rPr>
          <w:i/>
          <w:color w:val="444444"/>
          <w:sz w:val="18"/>
        </w:rPr>
        <w:t xml:space="preserve">Speaker Notes: The three-tier architecture </w:t>
        <w:br/>
        <w:t>Three-tier architecture is a client- server software architecture pattern in which the user interface (presentation), functional process logic ("Gosu Rules"),</w:t>
        <w:br/>
        <w:t xml:space="preserve"> computer data storage and data access are developed and maintained as independent modules. Three-tier architecture is one of the industry-standard software architectures.</w:t>
      </w:r>
    </w:p>
    <w:p>
      <w:pPr>
        <w:pStyle w:val="Heading3"/>
      </w:pPr>
      <w:r>
        <w:rPr>
          <w:sz w:val="24"/>
        </w:rPr>
        <w:t>Slide 5/43: (Untitled)</w:t>
      </w:r>
    </w:p>
    <w:p>
      <w:r>
        <w:rPr>
          <w:i/>
          <w:color w:val="888888"/>
        </w:rPr>
        <w:t>[Image placeholder]</w:t>
      </w:r>
    </w:p>
    <w:p>
      <w:pPr>
        <w:spacing w:before="80" w:after="80"/>
        <w:shd w:fill="E8E8E8" w:val="clear"/>
      </w:pPr>
      <w:r>
        <w:rPr>
          <w:i/>
          <w:color w:val="444444"/>
          <w:sz w:val="18"/>
        </w:rPr>
        <w:t>Speaker Notes: Data tier</w:t>
        <w:br/>
        <w:t xml:space="preserve"> A relational database is a collection of data structures and objects that related to each other. Databases store data in database tables. The operational data for the Guidewire application is stored inside a relational database. This database is typically hosted on a machine other than the machine hosting the Java EE application server. </w:t>
        <w:br/>
        <w:br/>
        <w:t>The war file contains a file named database-config.xml that specifies which database to connect to and how to establish the connection.</w:t>
        <w:br/>
        <w:br/>
        <w:t>For the latest and most complete information about the software Guidewire requires and supports, refer to the Guidewire PlatformMatrix page found at https://guidewire.custhelp.com/app/resources/products/platform-</w:t>
      </w:r>
    </w:p>
    <w:p>
      <w:pPr>
        <w:pStyle w:val="Heading3"/>
      </w:pPr>
      <w:r>
        <w:rPr>
          <w:sz w:val="24"/>
        </w:rPr>
        <w:t>Slide 6/43: (Untitled)</w:t>
      </w:r>
    </w:p>
    <w:p>
      <w:r>
        <w:rPr>
          <w:i/>
          <w:color w:val="888888"/>
        </w:rPr>
        <w:t>[Image placeholder]</w:t>
      </w:r>
    </w:p>
    <w:p>
      <w:pPr>
        <w:spacing w:before="80" w:after="80"/>
        <w:shd w:fill="E8E8E8" w:val="clear"/>
      </w:pPr>
      <w:r>
        <w:rPr>
          <w:i/>
          <w:color w:val="444444"/>
          <w:sz w:val="18"/>
        </w:rPr>
        <w:t xml:space="preserve">Speaker Notes: Application tier </w:t>
        <w:br/>
        <w:t>A Guidewire application consists of a set of Gosu rules, a user interface, a set of integration APIs, and a data model. The technology</w:t>
        <w:br/>
        <w:t xml:space="preserve"> for configuring these application elements platform-level (and common to all Guidewire applications), but the specific rules, I-II, APIs, and data model for each application are distinct</w:t>
        <w:br/>
        <w:br/>
        <w:t>All Guidewire applicationsare run within an application server- An application server runs enterprise-wide applications. There are several different types of application servers- The type of application server used by Guidewire applications is a Java Enterprise Edition (Java EE) server-</w:t>
        <w:br/>
        <w:br/>
        <w:t>Each Guidewire application is built and commonly deployed as a Web Application Archive (WAR) or Enterprise Application Archive (EAR) file to the application server. It contains all the configuration, operational data and data definition files necessary to execute the applicatiom The application server is typically installed on a dedicated machine that does not host any other aspects of the architecture, such as thedatabase.</w:t>
        <w:br/>
        <w:br/>
        <w:t xml:space="preserve"> This machine must use an operating system supported by your third-party application server vendor (or Guidewire, in the case of Apache Tomcat). Guidewire supports the operating systems forwhich application servers provide customer support.For details, review the customer-viewable document Platform Matrix. </w:t>
        <w:br/>
        <w:br/>
        <w:t>For the latest and most complete information about the software Guidewire requires and supports, refer to the Guidewire PlatformMatrix page found at https:/fguidewire.custhelp.co m/app/resourcesfproducts/platform.</w:t>
      </w:r>
    </w:p>
    <w:p>
      <w:pPr>
        <w:pStyle w:val="Heading3"/>
      </w:pPr>
      <w:r>
        <w:rPr>
          <w:sz w:val="24"/>
        </w:rPr>
        <w:t>Slide 7/43: (Untitled)</w:t>
      </w:r>
    </w:p>
    <w:p>
      <w:r>
        <w:rPr>
          <w:i/>
          <w:color w:val="888888"/>
        </w:rPr>
        <w:t>[Image placeholder]</w:t>
      </w:r>
    </w:p>
    <w:p>
      <w:pPr>
        <w:spacing w:before="80" w:after="80"/>
        <w:shd w:fill="E8E8E8" w:val="clear"/>
      </w:pPr>
      <w:r>
        <w:rPr>
          <w:i/>
          <w:color w:val="444444"/>
          <w:sz w:val="18"/>
        </w:rPr>
        <w:t>Speaker Notes: Presentation tier</w:t>
        <w:br/>
        <w:t xml:space="preserve"> Each application is a server-side application that dynamically generates a collection of standard HTML pages and data within those pages. End-users connect to the application using a web browser that renders those HTML pages. This makes only a minimal use of functionality in the client (the web browser). Because there are no static HTML files: 1) you cannot use the browser's Back button and 2) you can only bookmark the login page. All navigation is controlled on the server side.</w:t>
        <w:br/>
        <w:br/>
        <w:t xml:space="preserve"> For the latest and most complete information about the software Guidewire requires and supports,refer to the Guidewire Platform Matrix page found https://guidewire.custhelp.com/app/resources/products/platform</w:t>
      </w:r>
    </w:p>
    <w:p>
      <w:pPr>
        <w:pStyle w:val="Heading3"/>
      </w:pPr>
      <w:r>
        <w:rPr>
          <w:sz w:val="24"/>
        </w:rPr>
        <w:t>Slide 8/43: (Untitled)</w:t>
      </w:r>
    </w:p>
    <w:p>
      <w:r>
        <w:rPr>
          <w:i/>
          <w:color w:val="888888"/>
        </w:rPr>
        <w:t>[Image placeholder]</w:t>
      </w:r>
    </w:p>
    <w:p>
      <w:r>
        <w:rPr>
          <w:i/>
          <w:color w:val="888888"/>
        </w:rPr>
        <w:t>[Image placeholder]</w:t>
      </w:r>
    </w:p>
    <w:p>
      <w:pPr>
        <w:pStyle w:val="Heading3"/>
      </w:pPr>
      <w:r>
        <w:rPr>
          <w:sz w:val="24"/>
        </w:rPr>
        <w:t>Slide 9/43: (Untitled)</w:t>
      </w:r>
    </w:p>
    <w:p>
      <w:r>
        <w:rPr>
          <w:i/>
          <w:color w:val="888888"/>
        </w:rPr>
        <w:t>[Image placeholder]</w:t>
      </w:r>
    </w:p>
    <w:p>
      <w:pPr>
        <w:spacing w:before="80" w:after="80"/>
        <w:shd w:fill="E8E8E8" w:val="clear"/>
      </w:pPr>
      <w:r>
        <w:rPr>
          <w:i/>
          <w:color w:val="444444"/>
          <w:sz w:val="18"/>
        </w:rPr>
        <w:t>Speaker Notes: Fundamental areas of configuration</w:t>
        <w:br/>
        <w:t xml:space="preserve"> The three-tiers are the three fundamental areas of configuratiom There is also a fourth area of configuration for the development of integration points to external systems. Each application is typically integrated with a number of external systems. The connections to these systems are configured through the application APIs.</w:t>
        <w:br/>
        <w:br/>
        <w:t xml:space="preserve"> Typical examples: </w:t>
        <w:br/>
        <w:br/>
        <w:t xml:space="preserve">Policy Administration System </w:t>
        <w:br/>
        <w:br/>
        <w:t xml:space="preserve">Billing System </w:t>
        <w:br/>
        <w:br/>
        <w:t xml:space="preserve">Claim System </w:t>
        <w:br/>
        <w:br/>
        <w:t xml:space="preserve">Authentication (LDAP / Active directory) </w:t>
        <w:br/>
        <w:br/>
        <w:t xml:space="preserve">Document storage </w:t>
        <w:br/>
        <w:br/>
        <w:t xml:space="preserve">Document production </w:t>
        <w:br/>
        <w:br/>
        <w:t>Address Book (Contactmanagement system)</w:t>
        <w:br/>
        <w:br/>
        <w:t>Printing System, etc..</w:t>
        <w:br/>
        <w:br/>
        <w:t>Integration topics are discussed in Integration courses.</w:t>
      </w:r>
    </w:p>
    <w:p>
      <w:pPr>
        <w:pStyle w:val="Heading3"/>
      </w:pPr>
      <w:r>
        <w:rPr>
          <w:sz w:val="24"/>
        </w:rPr>
        <w:t>Slide 10/43: (Untitled)</w:t>
      </w:r>
    </w:p>
    <w:p>
      <w:r>
        <w:rPr>
          <w:i/>
          <w:color w:val="888888"/>
        </w:rPr>
        <w:t>[Image placeholder]</w:t>
      </w:r>
    </w:p>
    <w:p>
      <w:pPr>
        <w:spacing w:before="80" w:after="80"/>
        <w:shd w:fill="E8E8E8" w:val="clear"/>
      </w:pPr>
      <w:r>
        <w:rPr>
          <w:i/>
          <w:color w:val="444444"/>
          <w:sz w:val="18"/>
        </w:rPr>
        <w:t>Speaker Notes: Data model entities</w:t>
        <w:br/>
        <w:t xml:space="preserve"> A data model entity is a high-level business object used by the Guidewire application, such as ABContact, Policy, Account, Invoice, Claim. It defines the information about the object thatmust be stored in the database, such as Name, PubliclD, an CreateTime. It is defined in a set of one or more XML files. </w:t>
        <w:br/>
        <w:br/>
        <w:t>In most cases, each data model entity corresponds to a table in the database. The data model entity definition defines the table structure. The fields of the entity will become columns in the database table. Each instance of the data model entity is stored as one row in the database table.</w:t>
        <w:br/>
        <w:br/>
        <w:t xml:space="preserve"> In development environments</w:t>
        <w:br/>
        <w:t>when the application server gets restarted or the application gets re-deployed, the database will be automatically upgraded based on the data model.</w:t>
      </w:r>
    </w:p>
    <w:p>
      <w:pPr>
        <w:pStyle w:val="Heading3"/>
      </w:pPr>
      <w:r>
        <w:rPr>
          <w:sz w:val="24"/>
        </w:rPr>
        <w:t>Slide 11/43: (Untitled)</w:t>
      </w:r>
    </w:p>
    <w:p>
      <w:r>
        <w:rPr>
          <w:i/>
          <w:color w:val="888888"/>
        </w:rPr>
        <w:t>[Image placeholder]</w:t>
      </w:r>
    </w:p>
    <w:p>
      <w:r>
        <w:rPr>
          <w:i/>
          <w:color w:val="888888"/>
        </w:rPr>
        <w:t>[Image placeholder]</w:t>
      </w:r>
    </w:p>
    <w:p>
      <w:r>
        <w:rPr>
          <w:i/>
          <w:color w:val="888888"/>
        </w:rPr>
        <w:t>[Image placeholder]</w:t>
      </w:r>
    </w:p>
    <w:p>
      <w:pPr>
        <w:spacing w:before="80" w:after="80"/>
        <w:shd w:fill="E8E8E8" w:val="clear"/>
      </w:pPr>
      <w:r>
        <w:rPr>
          <w:i/>
          <w:color w:val="444444"/>
          <w:sz w:val="18"/>
        </w:rPr>
        <w:t>Speaker Notes: Gosu and generated Java classes</w:t>
        <w:br/>
        <w:br/>
        <w:t xml:space="preserve"> For every data model entity, there is a generated Java class with the same name- For every field in the data model entity, there is a field in the corresponding generated Java class. For example, the AB Contact data model entity has a "Name“ field, and the generated AB Contact Java class also has a "Name" field. In Insurance Suite, Guidewire Studio makes the process of code generation explicit and the generated code itself accessible- The generated Java class can be viewed and debugged in Studio. </w:t>
        <w:br/>
        <w:br/>
        <w:t>When ever the application needs to work with an instance of a data modelentity (which is stored as arow in the corresponding database table), the application creates aninstance of the corresponding Java class- The information  from the database is then read into that instance- For example, if a user searches for the ABContact whose name is "Express Auto", then the application finds the row in the database table for ABContact, creates an instance of the ABContact Java class, and reads data from that row into that instance.</w:t>
        <w:br/>
        <w:br/>
        <w:t xml:space="preserve"> The Application Server tieralso contains Gosuresources, such Gosu classes, Gosu Rules, enhancements. </w:t>
        <w:br/>
        <w:br/>
        <w:t>Gosu is an open-source, publicly-available programming language created by Guidewire. It is similar to Java- Gosu is used to specify runtime business logic that:</w:t>
        <w:br/>
        <w:br/>
        <w:t xml:space="preserve"> Executes fundamental application behavior</w:t>
        <w:br/>
        <w:br/>
        <w:t xml:space="preserve"> Manages complex business processes </w:t>
        <w:br/>
        <w:br/>
        <w:t xml:space="preserve">Specifies dynamic client- side behavior </w:t>
        <w:br/>
        <w:br/>
        <w:t xml:space="preserve">Gosu can be used to affect behavior throughout the product architecture. This includes: </w:t>
        <w:br/>
        <w:br/>
        <w:t>Application (such as specifying Gosu rule behavior, methods, and entity enhancements)</w:t>
        <w:br/>
        <w:br/>
        <w:t xml:space="preserve">Client-side behavior in the web browser (such as reflecting the change of the value in one field in some other field) </w:t>
        <w:br/>
        <w:br/>
        <w:t xml:space="preserve">Data model behavior (such as specifying which fields to concatenate for the "display name" of a given object) </w:t>
        <w:br/>
        <w:br/>
        <w:t xml:space="preserve">Integration behavior (such as defining the behavior of a web service that responds to requests from external applications) </w:t>
        <w:br/>
        <w:br/>
        <w:t>Gosu is discussed in more detail in the Introduction to Gosu lesson.</w:t>
      </w:r>
    </w:p>
    <w:p>
      <w:pPr>
        <w:pStyle w:val="Heading3"/>
      </w:pPr>
      <w:r>
        <w:rPr>
          <w:sz w:val="24"/>
        </w:rPr>
        <w:t>Slide 12/43: (Untitled)</w:t>
      </w:r>
    </w:p>
    <w:p>
      <w:r>
        <w:rPr>
          <w:i/>
          <w:color w:val="888888"/>
        </w:rPr>
        <w:t>[Image placeholder]</w:t>
      </w:r>
    </w:p>
    <w:p>
      <w:pPr>
        <w:spacing w:before="80" w:after="80"/>
        <w:shd w:fill="E8E8E8" w:val="clear"/>
      </w:pPr>
      <w:r>
        <w:rPr>
          <w:i/>
          <w:color w:val="444444"/>
          <w:sz w:val="18"/>
        </w:rPr>
        <w:t>Speaker Notes: PCF files (Page Configuration Format)</w:t>
        <w:br/>
        <w:br/>
        <w:t xml:space="preserve"> A PCF file (Page Configuration Format) is an abstract definition of a form or location used by the user interface tier. For example, "ABContact SummaryDV" detail view is used to display information about an AB Contact. It defines the information about the objects to be displayed in the user interface, such as the Name, Public ID, Created On and Assigned User fields. It is defined in a set of one or more XML file using the proprietary PCF XML schema definition.</w:t>
        <w:br/>
        <w:br/>
        <w:t xml:space="preserve"> There is a strong correspondence between data model entities and generated Java classes. Every data model entity has one generated Java class. There isn’t necessarily a strong correspondence between generated Java classes and PCFs. The data for one Java class could be displayed in a single PCF, or it could be displayed across multiple PCFs. The separation of the user interface tier and the application server tier gives developers the freedom to display data in whatever way makes sense to end users without being constrained by how that data is maintained in the application server or how the data is stored in the database.</w:t>
      </w:r>
    </w:p>
    <w:p>
      <w:pPr>
        <w:pStyle w:val="Heading3"/>
      </w:pPr>
      <w:r>
        <w:rPr>
          <w:sz w:val="24"/>
        </w:rPr>
        <w:t>Slide 13/43: (Untitled)</w:t>
      </w:r>
    </w:p>
    <w:p>
      <w:r>
        <w:rPr>
          <w:i/>
          <w:color w:val="888888"/>
        </w:rPr>
        <w:t>[Image placeholder]</w:t>
      </w:r>
    </w:p>
    <w:p>
      <w:pPr>
        <w:spacing w:before="80" w:after="80"/>
        <w:shd w:fill="E8E8E8" w:val="clear"/>
      </w:pPr>
      <w:r>
        <w:rPr>
          <w:i/>
          <w:color w:val="444444"/>
          <w:sz w:val="18"/>
        </w:rPr>
        <w:t xml:space="preserve">Speaker Notes: Components working together  displaying Express Auto (1 of 6) </w:t>
        <w:br/>
        <w:br/>
        <w:t>In this example we can see how the system uses the different components to display data from the database. The user clicks a button in the user interface to display the details of Express Auto TrainingApp performs the steps described on the following slides</w:t>
      </w:r>
    </w:p>
    <w:p>
      <w:pPr>
        <w:pStyle w:val="Heading3"/>
      </w:pPr>
      <w:r>
        <w:rPr>
          <w:sz w:val="24"/>
        </w:rPr>
        <w:t>Slide 14/43: (Untitled)</w:t>
      </w:r>
    </w:p>
    <w:p>
      <w:r>
        <w:rPr>
          <w:i/>
          <w:color w:val="888888"/>
        </w:rPr>
        <w:t>[Image placeholder]</w:t>
      </w:r>
    </w:p>
    <w:p>
      <w:pPr>
        <w:spacing w:before="80" w:after="80"/>
        <w:shd w:fill="E8E8E8" w:val="clear"/>
      </w:pPr>
      <w:r>
        <w:rPr>
          <w:i/>
          <w:color w:val="444444"/>
          <w:sz w:val="18"/>
        </w:rPr>
        <w:t xml:space="preserve">Speaker Notes: Components working together  displaying Express Auto (2 of 6) </w:t>
        <w:br/>
        <w:br/>
        <w:t>First the system creates an instance from the appropriate generated Java class. The system knows that from the database table. This will be discussed in more detail in the Introduction to the Data Model lesson.</w:t>
      </w:r>
    </w:p>
    <w:p>
      <w:pPr>
        <w:pStyle w:val="Heading3"/>
      </w:pPr>
      <w:r>
        <w:rPr>
          <w:sz w:val="24"/>
        </w:rPr>
        <w:t>Slide 15/43: (Untitled)</w:t>
      </w:r>
    </w:p>
    <w:p>
      <w:r>
        <w:rPr>
          <w:i/>
          <w:color w:val="888888"/>
        </w:rPr>
        <w:t>[Image placeholder]</w:t>
      </w:r>
    </w:p>
    <w:p>
      <w:pPr>
        <w:spacing w:before="80" w:after="80"/>
        <w:shd w:fill="E8E8E8" w:val="clear"/>
      </w:pPr>
      <w:r>
        <w:rPr>
          <w:i/>
          <w:color w:val="444444"/>
          <w:sz w:val="18"/>
        </w:rPr>
        <w:t xml:space="preserve">Speaker Notes: Components working together displaying Express Auto (3 of 6) 2) </w:t>
        <w:br/>
        <w:br/>
        <w:t>The data from the row will be loaded into the object instance. Remember, for every column in the database table, there is a field in the corresponding generated Java class.</w:t>
      </w:r>
    </w:p>
    <w:p>
      <w:pPr>
        <w:pStyle w:val="Heading3"/>
      </w:pPr>
      <w:r>
        <w:rPr>
          <w:sz w:val="24"/>
        </w:rPr>
        <w:t>Slide 16/43: (Untitled)</w:t>
      </w:r>
    </w:p>
    <w:p>
      <w:r>
        <w:rPr>
          <w:i/>
          <w:color w:val="888888"/>
        </w:rPr>
        <w:t>[Image placeholder]</w:t>
      </w:r>
    </w:p>
    <w:p>
      <w:pPr>
        <w:spacing w:before="80" w:after="80"/>
        <w:shd w:fill="E8E8E8" w:val="clear"/>
      </w:pPr>
      <w:r>
        <w:rPr>
          <w:i/>
          <w:color w:val="444444"/>
          <w:sz w:val="18"/>
        </w:rPr>
        <w:t>Speaker Notes: Components working together displaying Express Auto (4 of 6)</w:t>
        <w:br/>
        <w:br/>
        <w:t>Once the object is initialized it will be passed in as an input parameter to the ABContactSummaryDV PCF file. The object will be stored in the anABContact variable.</w:t>
      </w:r>
    </w:p>
    <w:p>
      <w:pPr>
        <w:pStyle w:val="Heading3"/>
      </w:pPr>
      <w:r>
        <w:rPr>
          <w:sz w:val="24"/>
        </w:rPr>
        <w:t>Slide 17/43: (Untitled)</w:t>
      </w:r>
    </w:p>
    <w:p>
      <w:r>
        <w:rPr>
          <w:i/>
          <w:color w:val="888888"/>
        </w:rPr>
        <w:t>[Image placeholder]</w:t>
      </w:r>
    </w:p>
    <w:p>
      <w:pPr>
        <w:spacing w:before="80" w:after="80"/>
        <w:shd w:fill="E8E8E8" w:val="clear"/>
      </w:pPr>
      <w:r>
        <w:rPr>
          <w:i/>
          <w:color w:val="444444"/>
          <w:sz w:val="18"/>
        </w:rPr>
        <w:t xml:space="preserve">Speaker Notes: Components working together displaying Express Auto (5 of 6) </w:t>
        <w:br/>
        <w:br/>
        <w:t xml:space="preserve"> The different PCF elements can use the dot notation t access the data in the object. You may be already familiar with the dot notation from other object oriented languages such as Java or</w:t>
      </w:r>
    </w:p>
    <w:p>
      <w:pPr>
        <w:pStyle w:val="Heading3"/>
      </w:pPr>
      <w:r>
        <w:rPr>
          <w:sz w:val="24"/>
        </w:rPr>
        <w:t>Slide 18/43: (Untitled)</w:t>
      </w:r>
    </w:p>
    <w:p>
      <w:r>
        <w:rPr>
          <w:i/>
          <w:color w:val="888888"/>
        </w:rPr>
        <w:t>[Image placeholder]</w:t>
      </w:r>
    </w:p>
    <w:p>
      <w:pPr>
        <w:spacing w:before="80" w:after="80"/>
        <w:shd w:fill="E8E8E8" w:val="clear"/>
      </w:pPr>
      <w:r>
        <w:rPr>
          <w:i/>
          <w:color w:val="444444"/>
          <w:sz w:val="18"/>
        </w:rPr>
        <w:t>Speaker Notes: Components working together displaying Express Auto (6 of 6)</w:t>
        <w:br/>
        <w:br/>
        <w:t>5) TrainingApp generates the HTML page that will be rendered in the browser.</w:t>
      </w:r>
    </w:p>
    <w:p>
      <w:pPr>
        <w:pStyle w:val="Heading3"/>
      </w:pPr>
      <w:r>
        <w:rPr>
          <w:sz w:val="24"/>
        </w:rPr>
        <w:t>Slide 19/43: (Untitled)</w:t>
      </w:r>
    </w:p>
    <w:p>
      <w:r>
        <w:rPr>
          <w:i/>
          <w:color w:val="888888"/>
        </w:rPr>
        <w:t>[Image placeholder]</w:t>
      </w:r>
    </w:p>
    <w:p>
      <w:pPr>
        <w:pStyle w:val="Heading3"/>
      </w:pPr>
      <w:r>
        <w:rPr>
          <w:sz w:val="24"/>
        </w:rPr>
        <w:t>Slide 20/43: (Untitled)</w:t>
      </w:r>
    </w:p>
    <w:p>
      <w:r>
        <w:rPr>
          <w:i/>
          <w:color w:val="888888"/>
        </w:rPr>
        <w:t>[Image placeholder]</w:t>
      </w:r>
    </w:p>
    <w:p>
      <w:pPr>
        <w:spacing w:before="80" w:after="80"/>
        <w:shd w:fill="E8E8E8" w:val="clear"/>
      </w:pPr>
      <w:r>
        <w:rPr>
          <w:i/>
          <w:color w:val="444444"/>
          <w:sz w:val="18"/>
        </w:rPr>
        <w:t xml:space="preserve">Speaker Notes: The Guidewire platform The Guidewire platform is layer of configuration technology that includes the functionality needed to define a Guidewire applications. For example, it includes: </w:t>
        <w:br/>
        <w:br/>
        <w:t>The technology to define a data model</w:t>
        <w:br/>
        <w:br/>
        <w:t xml:space="preserve"> The technology to define a user interface </w:t>
        <w:br/>
        <w:br/>
        <w:t>The technology to define application logic</w:t>
        <w:br/>
        <w:br/>
        <w:t xml:space="preserve">The technology to define integration points </w:t>
        <w:br/>
        <w:br/>
        <w:t>Every application uses this common technology to define own data model, user interface, business logic, and integration points. Each application is distinct, but every application shares common features and configuration techniques with all the other applications. For example, users can be created, modified or deleted the same way by the administrator in all the Guidewire applications. That is why data model entities, PCF files and application logic to manage Users are defined in the platform.</w:t>
      </w:r>
    </w:p>
    <w:p>
      <w:pPr>
        <w:pStyle w:val="Heading3"/>
      </w:pPr>
      <w:r>
        <w:rPr>
          <w:sz w:val="24"/>
        </w:rPr>
        <w:t>Slide 21/43: (Untitled)</w:t>
      </w:r>
    </w:p>
    <w:p>
      <w:r>
        <w:rPr>
          <w:i/>
          <w:color w:val="888888"/>
        </w:rPr>
        <w:t>[Image placeholder]</w:t>
      </w:r>
    </w:p>
    <w:p>
      <w:pPr>
        <w:spacing w:before="80" w:after="80"/>
        <w:shd w:fill="E8E8E8" w:val="clear"/>
      </w:pPr>
      <w:r>
        <w:rPr>
          <w:i/>
          <w:color w:val="444444"/>
          <w:sz w:val="18"/>
        </w:rPr>
        <w:t xml:space="preserve">Speaker Notes: Application-specific functionality </w:t>
        <w:br/>
        <w:br/>
        <w:t xml:space="preserve">Each application also has application-specific functionality. </w:t>
        <w:br/>
        <w:br/>
        <w:t xml:space="preserve">The Policy Center-specific functionality includes: </w:t>
        <w:br/>
        <w:br/>
        <w:t>The product model, which defines products, the policy lines assigned to each product, the coverages and cover ables for the product, and the coverage terms for those coverages.</w:t>
        <w:br/>
        <w:br/>
        <w:t xml:space="preserve"> Job flow, which defines how policy transactions (such as submissions, renewals, changes, and cancellations) are executed. </w:t>
        <w:br/>
        <w:br/>
        <w:t>Role assignment, which defines how users are assigned responsibility for a given account, policy, or policy transaction.</w:t>
        <w:br/>
        <w:br/>
        <w:t xml:space="preserve"> Policy validation, which validates that a given policy is valid, quotable, bindable, or issuable- </w:t>
        <w:br/>
        <w:br/>
        <w:t xml:space="preserve">The Billing Center-specific functionality includes: </w:t>
        <w:br/>
        <w:br/>
        <w:t xml:space="preserve">The management of invoices over the billing cycle from planned to billed to due. </w:t>
        <w:br/>
        <w:br/>
        <w:t>The production of producer commission statements for business collected directly from the client and the production and reconciliation of account statements where the producer collects monies due.</w:t>
        <w:br/>
        <w:br/>
        <w:t xml:space="preserve"> The management of processing exceptions and events such as account statement queries. These are known as trouble tickets within Billing Center. </w:t>
        <w:br/>
        <w:br/>
        <w:t xml:space="preserve">The management of delinquency process invoked when a payment becomes overdue and the account becomes delinquent. </w:t>
        <w:br/>
        <w:br/>
        <w:t xml:space="preserve">The Claim Center-specific functionality includes: </w:t>
        <w:br/>
        <w:br/>
        <w:t>Claim financials, which includes the ability to set aside money for expected payments (reserves), the ability to issue payments (checks), the ability to track recovery opportunities, and the ability to require approval for financial activity in excess of a given user’s authority</w:t>
        <w:br/>
        <w:br/>
        <w:t xml:space="preserve">Claim maturity, which is aset of rules that automatically manage the claim's maturity level, with particular attention paid to whether the claim can be paid out or not and whether activities should be prevented if the claim is not yet payable. </w:t>
        <w:br/>
        <w:br/>
        <w:t>Group access, which is enforced by "Access Control Lists", that can make a claim and its sub- objects viewable or editable to only its owner, or its owner and anyone in that group, or its owner and anyone in the same security zone.</w:t>
        <w:br/>
        <w:br/>
        <w:t xml:space="preserve"> Fraud detection, which is periodically checks claims for certain conditions and flags them for special investigation if the number and severity of the conditions it meet exceeds a given threshold.</w:t>
      </w:r>
    </w:p>
    <w:p>
      <w:pPr>
        <w:pStyle w:val="Heading3"/>
      </w:pPr>
      <w:r>
        <w:rPr>
          <w:sz w:val="24"/>
        </w:rPr>
        <w:t>Slide 22/43: (Untitled)</w:t>
      </w:r>
    </w:p>
    <w:p>
      <w:r>
        <w:rPr>
          <w:i/>
          <w:color w:val="888888"/>
        </w:rPr>
        <w:t>[Image placeholder]</w:t>
      </w:r>
    </w:p>
    <w:p>
      <w:pPr>
        <w:pStyle w:val="Heading3"/>
      </w:pPr>
      <w:r>
        <w:rPr>
          <w:sz w:val="24"/>
        </w:rPr>
        <w:t>Slide 23/43: (Untitled)</w:t>
      </w:r>
    </w:p>
    <w:p>
      <w:r>
        <w:rPr>
          <w:i/>
          <w:color w:val="888888"/>
        </w:rPr>
        <w:t>[Image placeholder]</w:t>
      </w:r>
    </w:p>
    <w:p>
      <w:pPr>
        <w:spacing w:before="80" w:after="80"/>
        <w:shd w:fill="E8E8E8" w:val="clear"/>
      </w:pPr>
      <w:r>
        <w:rPr>
          <w:i/>
          <w:color w:val="444444"/>
          <w:sz w:val="18"/>
        </w:rPr>
        <w:t xml:space="preserve">Speaker Notes: Training App </w:t>
        <w:br/>
        <w:br/>
        <w:t xml:space="preserve">Training App is not sold as genuine Guidewire product. It is used and maintained exclusively by Guidewire Education. The training application also has fundamental integration examples. These examples are discussed in the various Application Integration courses. Training App excludes complex functionality designed for policy billing, and claims processing. </w:t>
        <w:br/>
        <w:br/>
        <w:t xml:space="preserve">Training App is based on Guidewire's Contact Manager application. However, much of the Contact Manager functionality has been removed or simplified to promote the learning of configuration fundamentals. </w:t>
        <w:br/>
        <w:br/>
        <w:t xml:space="preserve">Users can search for AB Contacts on the Search tab. Once a AB Contact is selected, it is displayed on the Contact tab. Users can also create and modify different types of contacts, as Persons, Companies, Doctors, Auto Repair Shops, etc. </w:t>
        <w:br/>
        <w:br/>
        <w:t>Training App is incomplete by design. Certain portions of the user interface have incomplete functionality. In labs, students will complete and enhance the user interface functionality of TrainingApp.</w:t>
      </w:r>
    </w:p>
    <w:p>
      <w:pPr>
        <w:pStyle w:val="Heading3"/>
      </w:pPr>
      <w:r>
        <w:rPr>
          <w:sz w:val="24"/>
        </w:rPr>
        <w:t>Slide 24/43: (Untitled)</w:t>
      </w:r>
    </w:p>
    <w:p>
      <w:r>
        <w:rPr>
          <w:i/>
          <w:color w:val="888888"/>
        </w:rPr>
        <w:t>[Image placeholder]</w:t>
      </w:r>
    </w:p>
    <w:p>
      <w:pPr>
        <w:spacing w:before="80" w:after="80"/>
        <w:shd w:fill="E8E8E8" w:val="clear"/>
      </w:pPr>
      <w:r>
        <w:rPr>
          <w:i/>
          <w:color w:val="444444"/>
          <w:sz w:val="18"/>
        </w:rPr>
        <w:t>Speaker Notes: Gradle</w:t>
        <w:br/>
        <w:t xml:space="preserve"> Insurance Suite applications use Gradle. Gradle is an open-source build automation system based on a Groovy DSL (Domain Specific Language). It is a very flexible general purpose build tool. </w:t>
        <w:br/>
        <w:br/>
        <w:t xml:space="preserve">Gradle has three phases of build development: initialization, configuration and execution. You can add source sets and add dependency configurations easily. </w:t>
        <w:br/>
        <w:br/>
        <w:t xml:space="preserve">Gradle supports incremental builds. It intelligently determines which parts of the build tree are up-to-date so that any tasks  dependent upon those parts will not need to be re-executed. </w:t>
        <w:br/>
        <w:br/>
        <w:t>Insurance Suite applications implement the Gradle wrapper. The Gradle wrapper executes the  required Gradle build on machines where Gradle is notin stalled. Using the Gradle wrapper enforces the usage of a particular Gradle version thus minimizing support issues.</w:t>
      </w:r>
    </w:p>
    <w:p>
      <w:pPr>
        <w:pStyle w:val="Heading3"/>
      </w:pPr>
      <w:r>
        <w:rPr>
          <w:sz w:val="24"/>
        </w:rPr>
        <w:t>Slide 25/43: (Untitled)</w:t>
      </w:r>
    </w:p>
    <w:p>
      <w:r>
        <w:rPr>
          <w:i/>
          <w:color w:val="888888"/>
        </w:rPr>
        <w:t>[Image placeholder]</w:t>
      </w:r>
    </w:p>
    <w:p>
      <w:pPr>
        <w:spacing w:before="80" w:after="80"/>
        <w:shd w:fill="E8E8E8" w:val="clear"/>
      </w:pPr>
      <w:r>
        <w:rPr>
          <w:i/>
          <w:color w:val="444444"/>
          <w:sz w:val="18"/>
        </w:rPr>
        <w:t>Speaker Notes: Guidewire Studio</w:t>
        <w:br/>
        <w:br/>
        <w:t>Guidewire Studio is an Integrated Developer Environment (IDE) based on IntelliJ IDEA. Guidewire Studio comes bundled with     your application as an application project. Guidewire Studio supports the IntelliJ IDEA directory-based format (.iml) that defines the application project. The configuration-iml file defines the base project contents.</w:t>
        <w:br/>
        <w:br/>
        <w:t>A project is the highest level of organization in Guidewire Studio and includes project- wide settings as well as collections of modules and libraries. A project is an organizational unit that represents a complete software solution. With Guidewire Studio, it is much easier to identify, work with ,manage, and version the project-related resource. In Guidewire Studio, there is almost always a I-to-I relationship between the item being configured and the underlying file that is stored on the file system. In short, the project reflects the physical file locations on the disk.</w:t>
        <w:br/>
        <w:t>* There are limitations to working with Java classes and JAR files in a Guidewire Studio project. Creating your own Java class files directly in the Guidewire application project is not supported. You can reference specific Java classes and JARs in your project. However, there are specific requirements for how you work with your Java classes and libraries. For example, if your Gosu code references a package-local Java class, Studio will not flag this as a compile error, but the application will show the run-time error- To learn more about working with Java in the Guidewire Studio environment, refer to documentation.</w:t>
      </w:r>
    </w:p>
    <w:p>
      <w:pPr>
        <w:pStyle w:val="Heading3"/>
      </w:pPr>
      <w:r>
        <w:rPr>
          <w:sz w:val="24"/>
        </w:rPr>
        <w:t>Slide 26/43: (Untitled)</w:t>
      </w:r>
    </w:p>
    <w:p>
      <w:r>
        <w:rPr>
          <w:i/>
          <w:color w:val="888888"/>
        </w:rPr>
        <w:t>[Image placeholder]</w:t>
      </w:r>
    </w:p>
    <w:p>
      <w:pPr>
        <w:pStyle w:val="Heading3"/>
      </w:pPr>
      <w:r>
        <w:rPr>
          <w:sz w:val="24"/>
        </w:rPr>
        <w:t>Slide 27/43: (Untitled)</w:t>
      </w:r>
    </w:p>
    <w:p>
      <w:r>
        <w:rPr>
          <w:i/>
          <w:color w:val="888888"/>
        </w:rPr>
        <w:t>[Image placeholder]</w:t>
      </w:r>
    </w:p>
    <w:p>
      <w:pPr>
        <w:spacing w:before="80" w:after="80"/>
        <w:shd w:fill="E8E8E8" w:val="clear"/>
      </w:pPr>
      <w:r>
        <w:rPr>
          <w:i/>
          <w:color w:val="444444"/>
          <w:sz w:val="18"/>
        </w:rPr>
        <w:t>Speaker Notes: Demonstration</w:t>
        <w:br/>
        <w:br/>
        <w:t>Shown here is an example user story requirement requested by a fictional business analyst.</w:t>
      </w:r>
    </w:p>
    <w:p>
      <w:pPr>
        <w:pStyle w:val="Heading3"/>
      </w:pPr>
      <w:r>
        <w:rPr>
          <w:sz w:val="24"/>
        </w:rPr>
        <w:t>Slide 28/43: (Untitled)</w:t>
      </w:r>
    </w:p>
    <w:p>
      <w:pPr>
        <w:pStyle w:val="Heading3"/>
      </w:pPr>
      <w:r>
        <w:rPr>
          <w:sz w:val="24"/>
        </w:rPr>
        <w:t>Slide 29/43: (Untitled)</w:t>
      </w:r>
    </w:p>
    <w:p>
      <w:r>
        <w:rPr>
          <w:i/>
          <w:color w:val="888888"/>
        </w:rPr>
        <w:t>[Image placeholder]</w:t>
      </w:r>
    </w:p>
    <w:p>
      <w:pPr>
        <w:spacing w:before="80" w:after="80"/>
        <w:shd w:fill="E8E8E8" w:val="clear"/>
      </w:pPr>
      <w:r>
        <w:rPr>
          <w:i/>
          <w:color w:val="444444"/>
          <w:sz w:val="18"/>
        </w:rPr>
        <w:t>Speaker Notes: Demonstration</w:t>
        <w:br/>
        <w:br/>
        <w:t>Shown here is an example user story requirement requested by a fictional business analyst.</w:t>
      </w:r>
    </w:p>
    <w:p>
      <w:pPr>
        <w:pStyle w:val="Heading3"/>
      </w:pPr>
      <w:r>
        <w:rPr>
          <w:sz w:val="24"/>
        </w:rPr>
        <w:t>Slide 30/43: (Untitled)</w:t>
      </w:r>
    </w:p>
    <w:p>
      <w:pPr>
        <w:pStyle w:val="Heading3"/>
      </w:pPr>
      <w:r>
        <w:rPr>
          <w:sz w:val="24"/>
        </w:rPr>
        <w:t>Slide 31/43: (Untitled)</w:t>
      </w:r>
    </w:p>
    <w:p>
      <w:r>
        <w:rPr>
          <w:i/>
          <w:color w:val="888888"/>
        </w:rPr>
        <w:t>[Image placeholder]</w:t>
      </w:r>
    </w:p>
    <w:p>
      <w:pPr>
        <w:pStyle w:val="Heading3"/>
      </w:pPr>
      <w:r>
        <w:rPr>
          <w:sz w:val="24"/>
        </w:rPr>
        <w:t>Slide 32/43: (Untitled)</w:t>
      </w:r>
    </w:p>
    <w:p>
      <w:r>
        <w:rPr>
          <w:i/>
          <w:color w:val="888888"/>
        </w:rPr>
        <w:t>[Image placeholder]</w:t>
      </w:r>
    </w:p>
    <w:p>
      <w:pPr>
        <w:pStyle w:val="Heading3"/>
      </w:pPr>
      <w:r>
        <w:rPr>
          <w:sz w:val="24"/>
        </w:rPr>
        <w:t>Slide 33/43: (Untitled)</w:t>
      </w:r>
    </w:p>
    <w:p>
      <w:r>
        <w:rPr>
          <w:i/>
          <w:color w:val="888888"/>
        </w:rPr>
        <w:t>[Image placeholder]</w:t>
      </w:r>
    </w:p>
    <w:p>
      <w:pPr>
        <w:pStyle w:val="Heading3"/>
      </w:pPr>
      <w:r>
        <w:rPr>
          <w:sz w:val="24"/>
        </w:rPr>
        <w:t>Slide 34/43: (Untitled)</w:t>
      </w:r>
    </w:p>
    <w:p>
      <w:r>
        <w:rPr>
          <w:i/>
          <w:color w:val="888888"/>
        </w:rPr>
        <w:t>[Image placeholder]</w:t>
      </w:r>
    </w:p>
    <w:p>
      <w:pPr>
        <w:pStyle w:val="Heading3"/>
      </w:pPr>
      <w:r>
        <w:rPr>
          <w:sz w:val="24"/>
        </w:rPr>
        <w:t>Slide 35/43: (Untitled)</w:t>
      </w:r>
    </w:p>
    <w:p>
      <w:r>
        <w:rPr>
          <w:i/>
          <w:color w:val="888888"/>
        </w:rPr>
        <w:t>[Image placeholder]</w:t>
      </w:r>
    </w:p>
    <w:p>
      <w:pPr>
        <w:pStyle w:val="Heading3"/>
      </w:pPr>
      <w:r>
        <w:rPr>
          <w:sz w:val="24"/>
        </w:rPr>
        <w:t>Slide 36/43: (Untitled)</w:t>
      </w:r>
    </w:p>
    <w:p>
      <w:r>
        <w:rPr>
          <w:i/>
          <w:color w:val="888888"/>
        </w:rPr>
        <w:t>[Image placeholder]</w:t>
      </w:r>
    </w:p>
    <w:p>
      <w:pPr>
        <w:pStyle w:val="Heading3"/>
      </w:pPr>
      <w:r>
        <w:rPr>
          <w:sz w:val="24"/>
        </w:rPr>
        <w:t>Slide 37/43: (Untitled)</w:t>
      </w:r>
    </w:p>
    <w:p>
      <w:r>
        <w:rPr>
          <w:i/>
          <w:color w:val="888888"/>
        </w:rPr>
        <w:t>[Image placeholder]</w:t>
      </w:r>
    </w:p>
    <w:p>
      <w:pPr>
        <w:pStyle w:val="Heading3"/>
      </w:pPr>
      <w:r>
        <w:rPr>
          <w:sz w:val="24"/>
        </w:rPr>
        <w:t>Slide 38/43: (Untitled)</w:t>
      </w:r>
    </w:p>
    <w:p>
      <w:r>
        <w:rPr>
          <w:i/>
          <w:color w:val="888888"/>
        </w:rPr>
        <w:t>[Image placeholder]</w:t>
      </w:r>
    </w:p>
    <w:p>
      <w:pPr>
        <w:pStyle w:val="Heading3"/>
      </w:pPr>
      <w:r>
        <w:rPr>
          <w:sz w:val="24"/>
        </w:rPr>
        <w:t>Slide 39/43: (Untitled)</w:t>
      </w:r>
    </w:p>
    <w:p>
      <w:r>
        <w:rPr>
          <w:i/>
          <w:color w:val="888888"/>
        </w:rPr>
        <w:t>[Image placeholder]</w:t>
      </w:r>
    </w:p>
    <w:p>
      <w:pPr>
        <w:pStyle w:val="Heading3"/>
      </w:pPr>
      <w:r>
        <w:rPr>
          <w:sz w:val="24"/>
        </w:rPr>
        <w:t>Slide 40/43: (Untitled)</w:t>
      </w:r>
    </w:p>
    <w:p>
      <w:r>
        <w:rPr>
          <w:i/>
          <w:color w:val="888888"/>
        </w:rPr>
        <w:t>[Image placeholder]</w:t>
      </w:r>
    </w:p>
    <w:p>
      <w:pPr>
        <w:pStyle w:val="Heading3"/>
      </w:pPr>
      <w:r>
        <w:rPr>
          <w:sz w:val="24"/>
        </w:rPr>
        <w:t>Slide 41/43: (Untitled)</w:t>
      </w:r>
    </w:p>
    <w:p>
      <w:r>
        <w:rPr>
          <w:i/>
          <w:color w:val="888888"/>
        </w:rPr>
        <w:t>[Image placeholder]</w:t>
      </w:r>
    </w:p>
    <w:p>
      <w:pPr>
        <w:pStyle w:val="Heading3"/>
      </w:pPr>
      <w:r>
        <w:rPr>
          <w:sz w:val="24"/>
        </w:rPr>
        <w:t>Slide 42/43: (Untitled)</w:t>
      </w:r>
    </w:p>
    <w:p>
      <w:r>
        <w:rPr>
          <w:i/>
          <w:color w:val="888888"/>
        </w:rPr>
        <w:t>[Image placeholder]</w:t>
      </w:r>
    </w:p>
    <w:p>
      <w:pPr>
        <w:pStyle w:val="Heading3"/>
      </w:pPr>
      <w:r>
        <w:rPr>
          <w:sz w:val="24"/>
        </w:rPr>
        <w:t>Slide 43/43: (Untitled)</w:t>
      </w:r>
    </w:p>
    <w:p>
      <w:r>
        <w:rPr>
          <w:i/>
          <w:color w:val="888888"/>
        </w:rPr>
        <w:t>[Image placeholder]</w:t>
      </w:r>
    </w:p>
    <w:p>
      <w:pPr>
        <w:pStyle w:val="Heading2"/>
      </w:pPr>
      <w:r>
        <w:t>Assignment</w:t>
      </w:r>
    </w:p>
    <w:p>
      <w:r>
        <w:rPr>
          <w:b/>
          <w:color w:val="008800"/>
        </w:rPr>
        <w:t>[Assignment 01]: Introduction to Guidewire Configuration</w:t>
      </w:r>
    </w:p>
    <w:p>
      <w:r>
        <w:rPr>
          <w:i/>
          <w:sz w:val="18"/>
        </w:rPr>
        <w:t>File: 01 - Introduction to Guidewire Configuration.pdf</w:t>
      </w:r>
    </w:p>
    <w:p/>
    <w:p>
      <w:pPr>
        <w:spacing w:before="240"/>
        <w:jc w:val="center"/>
      </w:pPr>
      <w:r>
        <w:rPr>
          <w:i/>
          <w:color w:val="999999"/>
          <w:sz w:val="16"/>
        </w:rPr>
        <w:t>--- End of Lesson 1: Introduction to Guidewire Configuration | 43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