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2: Introduction to the Data Model</w:t>
      </w:r>
    </w:p>
    <w:p>
      <w:pPr>
        <w:spacing w:after="40"/>
      </w:pPr>
      <w:r>
        <w:rPr>
          <w:i/>
          <w:color w:val="999999"/>
          <w:sz w:val="16"/>
        </w:rPr>
        <w:t>Source: IS_Fund_02 - Introduction to the Data Model.pptx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1/33: (Untitled)</w:t>
      </w:r>
    </w:p>
    <w:p>
      <w:r>
        <w:rPr>
          <w:i/>
          <w:color w:val="888888"/>
        </w:rPr>
        <w:t>[Image placeholder]</w:t>
      </w:r>
    </w:p>
    <w:p>
      <w:pPr>
        <w:pStyle w:val="Heading3"/>
      </w:pPr>
      <w:r>
        <w:rPr>
          <w:sz w:val="24"/>
        </w:rPr>
        <w:t>Slide 2/33: (Untitled)</w:t>
      </w:r>
    </w:p>
    <w:p>
      <w:r>
        <w:rPr>
          <w:i/>
          <w:color w:val="888888"/>
        </w:rPr>
        <w:t>[Image placeholder]</w:t>
      </w:r>
    </w:p>
    <w:p>
      <w:pPr>
        <w:pStyle w:val="Heading3"/>
      </w:pPr>
      <w:r>
        <w:rPr>
          <w:sz w:val="24"/>
        </w:rPr>
        <w:t>Slide 3/33: (Untitled)</w:t>
      </w:r>
    </w:p>
    <w:p>
      <w:r>
        <w:rPr>
          <w:i/>
          <w:color w:val="888888"/>
        </w:rPr>
        <w:t>[Image placeholder]</w:t>
      </w:r>
    </w:p>
    <w:p>
      <w:pPr>
        <w:pStyle w:val="Heading3"/>
      </w:pPr>
      <w:r>
        <w:rPr>
          <w:sz w:val="24"/>
        </w:rPr>
        <w:t>Slide 4/33: (Untitled)</w:t>
      </w:r>
    </w:p>
    <w:p>
      <w:r>
        <w:rPr>
          <w:i/>
          <w:color w:val="888888"/>
        </w:rPr>
        <w:t>[Image placeholder]</w:t>
      </w:r>
    </w:p>
    <w:p>
      <w:pPr>
        <w:spacing w:before="80" w:after="80"/>
        <w:shd w:fill="E8E8E8" w:val="clear"/>
      </w:pPr>
      <w:r>
        <w:rPr>
          <w:i/>
          <w:color w:val="444444"/>
          <w:sz w:val="18"/>
        </w:rPr>
        <w:t>Speaker Notes: The Guidewire Data Model</w:t>
        <w:br/>
        <w:t>Guidewire applications employ a metadata approach to data objects. A Guidewire application uses metadata about application domain objects to drive both database persistence objects and the Gosu and Java interfaces to these objects. This architecture provides enormous power to extend Guidewire application capabilities.</w:t>
        <w:br/>
        <w:br/>
        <w:t>A Guidewire application lets you change its data model to accommodate your business needs. You make your changes to the Data Model by existing XML files and adding new ones. Guidewire calls changes that you make to the Data Model extensions. For example, you can extend the Data Model by adding new fields to the User entity, or you can declare entirely new entities. The complete data model of your application installation comprises the application model and any Data Model extensions that you make.</w:t>
      </w:r>
    </w:p>
    <w:p>
      <w:pPr>
        <w:pStyle w:val="Heading3"/>
      </w:pPr>
      <w:r>
        <w:rPr>
          <w:sz w:val="24"/>
        </w:rPr>
        <w:t>Slide 5/33: (Untitled)</w:t>
      </w:r>
    </w:p>
    <w:p>
      <w:r>
        <w:rPr>
          <w:i/>
          <w:color w:val="888888"/>
        </w:rPr>
        <w:t>[Image placeholder]</w:t>
      </w:r>
    </w:p>
    <w:p>
      <w:pPr>
        <w:spacing w:before="80" w:after="80"/>
        <w:shd w:fill="E8E8E8" w:val="clear"/>
      </w:pPr>
      <w:r>
        <w:rPr>
          <w:i/>
          <w:color w:val="444444"/>
          <w:sz w:val="18"/>
        </w:rPr>
        <w:t>Speaker Notes: Data Model entities</w:t>
        <w:br/>
        <w:t>Guidewire defines a set of data objects in the base Policy Center configuration from which it derives all other objects and entities. For many of the Guidewire base entities, you can also create entity extensions that enhance the base entities and provide additions required to support your particular business needs. In some cases, you can even define entirely new entities.</w:t>
        <w:br/>
        <w:br/>
        <w:t>You define data entities through XML elements in the entity metadata definition files. The root element of an entity definition specifies the kind of entity and any attributes that apply. Subelements of the entity element define entity components, such as columns, or fields, and foreign keys.</w:t>
      </w:r>
    </w:p>
    <w:p>
      <w:pPr>
        <w:pStyle w:val="Heading3"/>
      </w:pPr>
      <w:r>
        <w:rPr>
          <w:sz w:val="24"/>
        </w:rPr>
        <w:t>Slide 6/33: (Untitled)</w:t>
      </w:r>
    </w:p>
    <w:p>
      <w:r>
        <w:rPr>
          <w:i/>
          <w:color w:val="888888"/>
        </w:rPr>
        <w:t>[Image placeholder]</w:t>
      </w:r>
    </w:p>
    <w:p>
      <w:pPr>
        <w:spacing w:before="80" w:after="80"/>
        <w:shd w:fill="E8E8E8" w:val="clear"/>
      </w:pPr>
      <w:r>
        <w:rPr>
          <w:i/>
          <w:color w:val="444444"/>
          <w:sz w:val="18"/>
        </w:rPr>
        <w:t>Speaker Notes: Data fields</w:t>
        <w:br/>
        <w:t>Data fields are defined in XML for an entity file with a &lt;column&gt; element. Therefore, they are sometimes referred to a "column fields". There are other types of fields beyond primitive value fields that are stored in database table columns, however. So one should not assume that the only fields that map to database columns are the "column fields". This course uses the term "data fields" to avoid this possible point of confusion.</w:t>
      </w:r>
    </w:p>
    <w:p>
      <w:pPr>
        <w:pStyle w:val="Heading3"/>
      </w:pPr>
      <w:r>
        <w:rPr>
          <w:sz w:val="24"/>
        </w:rPr>
        <w:t>Slide 7/33: (Untitled)</w:t>
      </w:r>
    </w:p>
    <w:p>
      <w:r>
        <w:rPr>
          <w:i/>
          <w:color w:val="888888"/>
        </w:rPr>
        <w:t>[Image placeholder]</w:t>
      </w:r>
    </w:p>
    <w:p>
      <w:pPr>
        <w:spacing w:before="80" w:after="80"/>
        <w:shd w:fill="E8E8E8" w:val="clear"/>
      </w:pPr>
      <w:r>
        <w:rPr>
          <w:i/>
          <w:color w:val="444444"/>
          <w:sz w:val="18"/>
        </w:rPr>
        <w:t>Speaker Notes: Foreign key fields</w:t>
        <w:br/>
        <w:t>Note: At its simplest, the Guidewire data model is a set of XML-formatted metadata definitions of entities and typelists. An entity defines a set of fields for information. You can add a Foreign Key field to an entity.</w:t>
      </w:r>
    </w:p>
    <w:p>
      <w:pPr>
        <w:pStyle w:val="Heading3"/>
      </w:pPr>
      <w:r>
        <w:rPr>
          <w:sz w:val="24"/>
        </w:rPr>
        <w:t>Slide 8/33: (Untitled)</w:t>
      </w:r>
    </w:p>
    <w:p>
      <w:r>
        <w:rPr>
          <w:i/>
          <w:color w:val="888888"/>
        </w:rPr>
        <w:t>[Image placeholder]</w:t>
      </w:r>
    </w:p>
    <w:p>
      <w:pPr>
        <w:spacing w:before="80" w:after="80"/>
        <w:shd w:fill="E8E8E8" w:val="clear"/>
      </w:pPr>
      <w:r>
        <w:rPr>
          <w:i/>
          <w:color w:val="444444"/>
          <w:sz w:val="18"/>
        </w:rPr>
        <w:t>Speaker Notes: Array fields</w:t>
        <w:br/>
        <w:t>Note: At its simplest, the Guidewire data model is a set of XML-formatted metadata definitions of entities and typelists- An entity defines a set of fields for information. You can add an Array field to an entity.</w:t>
      </w:r>
    </w:p>
    <w:p>
      <w:pPr>
        <w:pStyle w:val="Heading3"/>
      </w:pPr>
      <w:r>
        <w:rPr>
          <w:sz w:val="24"/>
        </w:rPr>
        <w:t>Slide 9/33: (Untitled)</w:t>
      </w:r>
    </w:p>
    <w:p>
      <w:r>
        <w:rPr>
          <w:i/>
          <w:color w:val="888888"/>
        </w:rPr>
        <w:t>[Image placeholder]</w:t>
      </w:r>
    </w:p>
    <w:p>
      <w:pPr>
        <w:spacing w:before="80" w:after="80"/>
        <w:shd w:fill="E8E8E8" w:val="clear"/>
      </w:pPr>
      <w:r>
        <w:rPr>
          <w:i/>
          <w:color w:val="444444"/>
          <w:sz w:val="18"/>
        </w:rPr>
        <w:t>Speaker Notes: Typelists and typekey fields</w:t>
        <w:br/>
        <w:t>Note: At its simplest, the Guidewire data model is a set of XML-formatted metadata definitions of entities and typelists- An entity defines a set of fields for information. You can add a Typekey field to an entity.</w:t>
      </w:r>
    </w:p>
    <w:p>
      <w:pPr>
        <w:pStyle w:val="Heading3"/>
      </w:pPr>
      <w:r>
        <w:rPr>
          <w:sz w:val="24"/>
        </w:rPr>
        <w:t>Slide 10/33: (Untitled)</w:t>
      </w:r>
    </w:p>
    <w:p>
      <w:r>
        <w:rPr>
          <w:i/>
          <w:color w:val="888888"/>
        </w:rPr>
        <w:t>[Image placeholder]</w:t>
      </w:r>
    </w:p>
    <w:p>
      <w:pPr>
        <w:spacing w:before="80" w:after="80"/>
        <w:shd w:fill="E8E8E8" w:val="clear"/>
      </w:pPr>
      <w:r>
        <w:rPr>
          <w:i/>
          <w:color w:val="444444"/>
          <w:sz w:val="18"/>
        </w:rPr>
        <w:t>Speaker Notes: Supertype (subtyped) entities</w:t>
        <w:br/>
        <w:t>Subtype entities are children entities of a top level supertype (parent) entity. All fields in the parent entity are inherited by the child entity. ABContact is a top level supertype entity. The AB Contact entity is an abstract entity (abstract=true). Abstract entities cannot be instantiated, but they can be subtyped. In other words, this means that you cannot create instances of an AB Contact, but you can create entity instances of its subtypes such as instances of ABPerson, AB Company, AB Person Vendor, AB Policy Person, AB Ajudicator, AB Attorney, and AB Doctor.</w:t>
        <w:br/>
        <w:br/>
        <w:t>Not all top level supertype entities are abstract- It is also possible to have subtype entities that are abstract Another way to describe a supertype entity is to use the term "subtyped" entity. In the slide example, there are several subtyped entities including ABContact, ABPerson, and ABPersonVendor. The slide diagram does not reflect all the supertype and subtype entities in TrainingApp-</w:t>
        <w:br/>
        <w:br/>
        <w:t>Supertype entities in Claim Center include Contact, Incident, and Transaction- Contact and Transaction are abstract entities-</w:t>
        <w:br/>
        <w:br/>
        <w:t>Supertype entities in Policy Center include Contact, Job and Workflow- All three entities are abstract.</w:t>
        <w:br/>
        <w:br/>
        <w:t>Supertype entities in Billing Center include Contact, Activity, Plan, Invoice, and Workflow.  Contact, Plan, Invoice, and Workflow are abstractentities-</w:t>
      </w:r>
    </w:p>
    <w:p>
      <w:pPr>
        <w:pStyle w:val="Heading3"/>
      </w:pPr>
      <w:r>
        <w:rPr>
          <w:sz w:val="24"/>
        </w:rPr>
        <w:t>Slide 11/33: (Untitled)</w:t>
      </w:r>
    </w:p>
    <w:p>
      <w:r>
        <w:rPr>
          <w:i/>
          <w:color w:val="888888"/>
        </w:rPr>
        <w:t>[Image placeholder]</w:t>
      </w:r>
    </w:p>
    <w:p>
      <w:pPr>
        <w:spacing w:before="80" w:after="80"/>
        <w:shd w:fill="E8E8E8" w:val="clear"/>
      </w:pPr>
      <w:r>
        <w:rPr>
          <w:i/>
          <w:color w:val="444444"/>
          <w:sz w:val="18"/>
        </w:rPr>
        <w:t>Speaker Notes: Supertype (subtyped) entities example</w:t>
        <w:br/>
        <w:t>Let's say there are two entities:</w:t>
        <w:br/>
        <w:t>AB Person and AB Company to store contact information about persons and companies.</w:t>
        <w:br/>
        <w:br/>
        <w:t>1) After we analyze the entity definitions, we find they b,vo fields in common and the fields have the same business purpose.</w:t>
        <w:br/>
        <w:t>2) To improve the design and avoid defining the same business field multiple times, we could introduce a new entity — AB Contact - to store the common fields.</w:t>
        <w:br/>
        <w:t>3) After defining the fields, we are going to set up a supertype-subtype (parent- child) relationship. Because of this relationship, the children are going to inherit all the fields from the parent.</w:t>
        <w:br/>
        <w:t>4) Thus, we can remove the duplicated fields from the definitions of AB Person and AB Company entities.</w:t>
      </w:r>
    </w:p>
    <w:p>
      <w:pPr>
        <w:pStyle w:val="Heading3"/>
      </w:pPr>
      <w:r>
        <w:rPr>
          <w:sz w:val="24"/>
        </w:rPr>
        <w:t>Slide 12/33: (Untitled)</w:t>
      </w:r>
    </w:p>
    <w:p>
      <w:r>
        <w:rPr>
          <w:i/>
          <w:color w:val="888888"/>
        </w:rPr>
        <w:t>[Image placeholder]</w:t>
      </w:r>
    </w:p>
    <w:p>
      <w:pPr>
        <w:pStyle w:val="Heading3"/>
      </w:pPr>
      <w:r>
        <w:rPr>
          <w:sz w:val="24"/>
        </w:rPr>
        <w:t>Slide 13/33: (Untitled)</w:t>
      </w:r>
    </w:p>
    <w:p>
      <w:r>
        <w:rPr>
          <w:i/>
          <w:color w:val="888888"/>
        </w:rPr>
        <w:t>[Image placeholder]</w:t>
      </w:r>
    </w:p>
    <w:p>
      <w:pPr>
        <w:spacing w:before="80" w:after="80"/>
        <w:shd w:fill="E8E8E8" w:val="clear"/>
      </w:pPr>
      <w:r>
        <w:rPr>
          <w:i/>
          <w:color w:val="444444"/>
          <w:sz w:val="18"/>
        </w:rPr>
        <w:t>Speaker Notes: Entities in the database</w:t>
        <w:br/>
        <w:t>There are two exceptions to the generalization above: virtual and subtype entities.</w:t>
        <w:br/>
        <w:t>Virtual. Non-persistent entities are entities constructed entirely with code. They exist during run-time, and when the Guidewire application shuts down, the data is not saved to the database. An example of a non-persistent entity is ABContactSearchCriteria in TrainingApp- Guidewire recommends that you do not create non-persistent entities as a general rule</w:t>
        <w:br/>
        <w:br/>
        <w:t>Subtype entities are entities that are children entities of a top level supertype (parent) entity. All fields in the parent entity are inherited by the child entity. A top level supertype entity and all of its child subtypes are stored in a single database table. In this manner, all the entities share the same database table.</w:t>
      </w:r>
    </w:p>
    <w:p>
      <w:pPr>
        <w:pStyle w:val="Heading3"/>
      </w:pPr>
      <w:r>
        <w:rPr>
          <w:sz w:val="24"/>
        </w:rPr>
        <w:t>Slide 14/33: (Untitled)</w:t>
      </w:r>
    </w:p>
    <w:p>
      <w:r>
        <w:rPr>
          <w:i/>
          <w:color w:val="888888"/>
        </w:rPr>
        <w:t>[Image placeholder]</w:t>
      </w:r>
    </w:p>
    <w:p>
      <w:pPr>
        <w:spacing w:before="80" w:after="80"/>
        <w:shd w:fill="E8E8E8" w:val="clear"/>
      </w:pPr>
      <w:r>
        <w:rPr>
          <w:i/>
          <w:color w:val="444444"/>
          <w:sz w:val="18"/>
        </w:rPr>
        <w:t>Speaker Notes: Data fields in the database</w:t>
        <w:br/>
        <w:t>In the example above, the FullName field is a virtual field or property. FullName concatenates the values of the FirstName, MiddleName, and LastName physical fields.</w:t>
        <w:br/>
        <w:t>Virtual fields are defined as Gosu code in Enhancements. Entity Enhancements are discussed inanother lesson.</w:t>
      </w:r>
    </w:p>
    <w:p>
      <w:pPr>
        <w:pStyle w:val="Heading3"/>
      </w:pPr>
      <w:r>
        <w:rPr>
          <w:sz w:val="24"/>
        </w:rPr>
        <w:t>Slide 15/33: (Untitled)</w:t>
      </w:r>
    </w:p>
    <w:p>
      <w:r>
        <w:rPr>
          <w:i/>
          <w:color w:val="888888"/>
        </w:rPr>
        <w:t>[Image placeholder]</w:t>
      </w:r>
    </w:p>
    <w:p>
      <w:pPr>
        <w:spacing w:before="80" w:after="80"/>
        <w:shd w:fill="E8E8E8" w:val="clear"/>
      </w:pPr>
      <w:r>
        <w:rPr>
          <w:i/>
          <w:color w:val="444444"/>
          <w:sz w:val="18"/>
        </w:rPr>
        <w:t>Speaker Notes: Foreign key fields in the database</w:t>
        <w:br/>
        <w:t>In the slide example, the assigned user (4) for European Autoworks is Alice Applegate. The assigned user (3) for 3M and Express Auto is System User.</w:t>
        <w:br/>
        <w:t>The assigned user (2) for United Natural Foods lnc is Super User.</w:t>
      </w:r>
    </w:p>
    <w:p>
      <w:pPr>
        <w:pStyle w:val="Heading3"/>
      </w:pPr>
      <w:r>
        <w:rPr>
          <w:sz w:val="24"/>
        </w:rPr>
        <w:t>Slide 16/33: (Untitled)</w:t>
      </w:r>
    </w:p>
    <w:p>
      <w:r>
        <w:rPr>
          <w:i/>
          <w:color w:val="888888"/>
        </w:rPr>
        <w:t>[Image placeholder]</w:t>
      </w:r>
    </w:p>
    <w:p>
      <w:pPr>
        <w:spacing w:before="80" w:after="80"/>
        <w:shd w:fill="E8E8E8" w:val="clear"/>
      </w:pPr>
      <w:r>
        <w:rPr>
          <w:i/>
          <w:color w:val="444444"/>
          <w:sz w:val="18"/>
        </w:rPr>
        <w:t>Speaker Notes: Array fields in the database</w:t>
        <w:br/>
        <w:t>Array keys are managed during run-time by code that queries the database for objects of a given type with foreign keys that point to the array's parent.</w:t>
        <w:br/>
        <w:br/>
        <w:t>For example, assume you have an ABContact object named ericAndy that stores the ABContact data for Eric Andy Whenever you reference ericAndy.ContactNotes,</w:t>
        <w:br/>
        <w:br/>
        <w:t>Guidewire queries the database for all ContactNote objects whose ABContact field points to Eric Andy and returns those objects in an array.</w:t>
      </w:r>
    </w:p>
    <w:p>
      <w:pPr>
        <w:pStyle w:val="Heading3"/>
      </w:pPr>
      <w:r>
        <w:rPr>
          <w:sz w:val="24"/>
        </w:rPr>
        <w:t>Slide 17/33: (Untitled)</w:t>
      </w:r>
    </w:p>
    <w:p>
      <w:r>
        <w:rPr>
          <w:i/>
          <w:color w:val="888888"/>
        </w:rPr>
        <w:t>[Image placeholder]</w:t>
      </w:r>
    </w:p>
    <w:p>
      <w:pPr>
        <w:spacing w:before="80" w:after="80"/>
        <w:shd w:fill="E8E8E8" w:val="clear"/>
      </w:pPr>
      <w:r>
        <w:rPr>
          <w:i/>
          <w:color w:val="444444"/>
          <w:sz w:val="18"/>
        </w:rPr>
        <w:t>Speaker Notes: Typelists and typekey fields in the</w:t>
        <w:br/>
        <w:t>database</w:t>
        <w:br/>
        <w:t>Typelist tables are named &lt;applicationcode&gt;tl_&lt;typelistname&gt;</w:t>
        <w:br/>
        <w:br/>
        <w:t>In this example, the Vendor Type</w:t>
        <w:br/>
        <w:t>of M B Garage and Glass Repair</w:t>
        <w:br/>
        <w:t>is Auto glass shop.</w:t>
      </w:r>
    </w:p>
    <w:p>
      <w:pPr>
        <w:pStyle w:val="Heading3"/>
      </w:pPr>
      <w:r>
        <w:rPr>
          <w:sz w:val="24"/>
        </w:rPr>
        <w:t>Slide 18/33: (Untitled)</w:t>
      </w:r>
    </w:p>
    <w:p>
      <w:r>
        <w:rPr>
          <w:i/>
          <w:color w:val="888888"/>
        </w:rPr>
        <w:t>[Image placeholder]</w:t>
      </w:r>
    </w:p>
    <w:p>
      <w:pPr>
        <w:spacing w:before="80" w:after="80"/>
        <w:shd w:fill="E8E8E8" w:val="clear"/>
      </w:pPr>
      <w:r>
        <w:rPr>
          <w:i/>
          <w:color w:val="444444"/>
          <w:sz w:val="18"/>
        </w:rPr>
        <w:t>Speaker Notes: Subtype entities in the database</w:t>
        <w:br/>
        <w:t>Whenever an entity is subtyped, a virtual typelist is automatically created for it. This typelist contains one typecode for every subtype of the parent entity. Typelist tables are prefixed with "xxtl ", where "xx" is the two- letteFapplication code.</w:t>
        <w:br/>
        <w:br/>
        <w:t>The ab abcontact table is the parent 3r supertype table that stores all instances of ABContact and its subtypes.</w:t>
      </w:r>
    </w:p>
    <w:p>
      <w:pPr>
        <w:pStyle w:val="Heading3"/>
      </w:pPr>
      <w:r>
        <w:rPr>
          <w:sz w:val="24"/>
        </w:rPr>
        <w:t>Slide 19/33: (Untitled)</w:t>
      </w:r>
    </w:p>
    <w:p>
      <w:r>
        <w:rPr>
          <w:i/>
          <w:color w:val="888888"/>
        </w:rPr>
        <w:t>[Image placeholder]</w:t>
      </w:r>
    </w:p>
    <w:p>
      <w:pPr>
        <w:pStyle w:val="Heading3"/>
      </w:pPr>
      <w:r>
        <w:rPr>
          <w:sz w:val="24"/>
        </w:rPr>
        <w:t>Slide 20/33: (Untitled)</w:t>
      </w:r>
    </w:p>
    <w:p>
      <w:r>
        <w:rPr>
          <w:i/>
          <w:color w:val="888888"/>
        </w:rPr>
        <w:t>[Image placeholder]</w:t>
      </w:r>
    </w:p>
    <w:p>
      <w:pPr>
        <w:spacing w:before="80" w:after="80"/>
        <w:shd w:fill="E8E8E8" w:val="clear"/>
      </w:pPr>
      <w:r>
        <w:rPr>
          <w:i/>
          <w:color w:val="444444"/>
          <w:sz w:val="18"/>
        </w:rPr>
        <w:t>Speaker Notes: TrainingApp data model The core of the TrainingApp data model consists of nine entities and a small number of relationships which all center around ABContact.</w:t>
        <w:br/>
        <w:br/>
        <w:t>• The ABContact entity stores contacts. CAB" stands for "Address Book". Many insurance carriers refer to their contact application as an Address Book.) The ABContact entity is subtyped, which is represented in the diagram above by the three small rectangles inside the ABContact rectangle- See the Subtype hierarchy earlier in this presentation.</w:t>
        <w:br/>
        <w:br/>
        <w:t>• The Address entity stores addresses. An ABContact has one to many addresses.</w:t>
        <w:br/>
        <w:br/>
        <w:t>• Each contact has a history, which is a list of important occurrences in the life of that contact. The HistoryEntry entity stores a single entry in the ABContact's history. Given that a history entry is created to note the creation of the contact, every ABContact has one to many history entries.</w:t>
        <w:br/>
        <w:br/>
        <w:t>• The FlagEntry entity stores a flag entry. A flag entry is an issue pertaining to the ABContact which someone should attend to. An ABContact is "flagged" when</w:t>
        <w:br/>
        <w:t>it has one or more open flag entries. An ABContact can have zero to many flag entries.</w:t>
        <w:br/>
        <w:br/>
        <w:t>• The ContactNote entity stores notes about the ABContact. A contact note is a free-form text entry used to capture miscellaneous information about the contact. An ABContact can have zero to many contact notes</w:t>
        <w:br/>
        <w:br/>
        <w:t>• The BankAccount entity stores bank account information. An ABContact can have zero to many bank accounts-</w:t>
        <w:br/>
        <w:br/>
        <w:t>• The Service Evaluation entity stores information about a service evaluation, which evaluates the quality of the service provided by the contact and is most appropriate for vendo contacts such as doctors, lawyers, and auto repair shops. An ABContact can have zero to many service evaluations.</w:t>
        <w:br/>
        <w:br/>
        <w:t>• The User entity stores information about TrainingApp users. An ABContact may have zero or one assigned users.</w:t>
        <w:br/>
        <w:br/>
        <w:t>• The FinancialSummary entity stores information about an ABContact’s financial summary. An ABContact may have zero or one financial summaries.</w:t>
      </w:r>
    </w:p>
    <w:p>
      <w:pPr>
        <w:pStyle w:val="Heading3"/>
      </w:pPr>
      <w:r>
        <w:rPr>
          <w:sz w:val="24"/>
        </w:rPr>
        <w:t>Slide 21/33: (Untitled)</w:t>
      </w:r>
    </w:p>
    <w:p>
      <w:r>
        <w:rPr>
          <w:i/>
          <w:color w:val="888888"/>
        </w:rPr>
        <w:t>[Image placeholder]</w:t>
      </w:r>
    </w:p>
    <w:p>
      <w:pPr>
        <w:pStyle w:val="Heading3"/>
      </w:pPr>
      <w:r>
        <w:rPr>
          <w:sz w:val="24"/>
        </w:rPr>
        <w:t>Slide 22/33: (Untitled)</w:t>
      </w:r>
    </w:p>
    <w:p>
      <w:r>
        <w:rPr>
          <w:i/>
          <w:color w:val="888888"/>
        </w:rPr>
        <w:t>[Image placeholder]</w:t>
      </w:r>
    </w:p>
    <w:p>
      <w:pPr>
        <w:spacing w:before="80" w:after="80"/>
        <w:shd w:fill="E8E8E8" w:val="clear"/>
      </w:pPr>
      <w:r>
        <w:rPr>
          <w:i/>
          <w:color w:val="444444"/>
          <w:sz w:val="18"/>
        </w:rPr>
        <w:t>Speaker Notes: What is the Data Dictionary?</w:t>
        <w:br/>
        <w:t>The Data Dictionary documents the entities and typelists in a Guidewire application. The Data Dictionary contains three kinds of data entity views: standard, database, and migration.</w:t>
        <w:br/>
        <w:br/>
        <w:t>The standard and migration views are similar but not identical. You use each for a different purpose. In general:</w:t>
        <w:br/>
        <w:t>• Use the standard view to view a full set of entities associated with the PolicyCenter application and the columns, typekeys, arrays and foreign keys associated with each entity. "Using the Data Dictionary" discusses the standard Data Dictionary view in more detail.</w:t>
        <w:br/>
        <w:t>• Use the migration view to assist you in converting data from a legacy application. This view provides a subset of the information in the standard view of the application entities that is more useful for those working on the conversion of legacy data.</w:t>
        <w:br/>
        <w:t>• The Data Entities (Database View) is just simply the physical database view.</w:t>
        <w:br/>
        <w:br/>
        <w:t>You would execute the gwb commandif:</w:t>
        <w:br/>
        <w:t>• You have a clean installation of the Guidewire application (Data Dictionary is not pregenerated)</w:t>
        <w:br/>
        <w:t>• You extend the Data Model:</w:t>
        <w:br/>
        <w:t>- To validate your changes</w:t>
        <w:br/>
        <w:t>- To refresh the static HTML</w:t>
        <w:br/>
        <w:t>pages</w:t>
      </w:r>
    </w:p>
    <w:p>
      <w:pPr>
        <w:pStyle w:val="Heading3"/>
      </w:pPr>
      <w:r>
        <w:rPr>
          <w:sz w:val="24"/>
        </w:rPr>
        <w:t>Slide 23/33: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24/33: (Untitled)</w:t>
      </w:r>
    </w:p>
    <w:p>
      <w:pPr>
        <w:pStyle w:val="Heading3"/>
      </w:pPr>
      <w:r>
        <w:rPr>
          <w:sz w:val="24"/>
        </w:rPr>
        <w:t>Slide 25/33: (Untitled)</w:t>
      </w:r>
    </w:p>
    <w:p>
      <w:r>
        <w:rPr>
          <w:i/>
          <w:color w:val="888888"/>
        </w:rPr>
        <w:t>[Image placeholder]</w:t>
      </w:r>
    </w:p>
    <w:p>
      <w:pPr>
        <w:pStyle w:val="Heading3"/>
      </w:pPr>
      <w:r>
        <w:rPr>
          <w:sz w:val="24"/>
        </w:rPr>
        <w:t>Slide 26/33: (Untitled)</w:t>
      </w:r>
    </w:p>
    <w:p>
      <w:r>
        <w:rPr>
          <w:i/>
          <w:color w:val="888888"/>
        </w:rPr>
        <w:t>[Image placeholder]</w:t>
      </w:r>
    </w:p>
    <w:p>
      <w:pPr>
        <w:pStyle w:val="Heading3"/>
      </w:pPr>
      <w:r>
        <w:rPr>
          <w:sz w:val="24"/>
        </w:rPr>
        <w:t>Slide 27/33: (Untitled)</w:t>
      </w:r>
    </w:p>
    <w:p>
      <w:r>
        <w:rPr>
          <w:i/>
          <w:color w:val="888888"/>
        </w:rPr>
        <w:t>[Image placeholder]</w:t>
      </w:r>
    </w:p>
    <w:p>
      <w:pPr>
        <w:pStyle w:val="Heading3"/>
      </w:pPr>
      <w:r>
        <w:rPr>
          <w:sz w:val="24"/>
        </w:rPr>
        <w:t>Slide 28/33: (Untitled)</w:t>
      </w:r>
    </w:p>
    <w:p>
      <w:r>
        <w:rPr>
          <w:i/>
          <w:color w:val="888888"/>
        </w:rPr>
        <w:t>[Image placeholder]</w:t>
      </w:r>
    </w:p>
    <w:p>
      <w:pPr>
        <w:pStyle w:val="Heading3"/>
      </w:pPr>
      <w:r>
        <w:rPr>
          <w:sz w:val="24"/>
        </w:rPr>
        <w:t>Slide 29/33: (Untitled)</w:t>
      </w:r>
    </w:p>
    <w:p>
      <w:r>
        <w:rPr>
          <w:i/>
          <w:color w:val="888888"/>
        </w:rPr>
        <w:t>[Image placeholder]</w:t>
      </w:r>
    </w:p>
    <w:p>
      <w:pPr>
        <w:pStyle w:val="Heading3"/>
      </w:pPr>
      <w:r>
        <w:rPr>
          <w:sz w:val="24"/>
        </w:rPr>
        <w:t>Slide 30/33: (Untitled)</w:t>
      </w:r>
    </w:p>
    <w:p>
      <w:r>
        <w:rPr>
          <w:i/>
          <w:color w:val="888888"/>
        </w:rPr>
        <w:t>[Image placeholder]</w:t>
      </w:r>
    </w:p>
    <w:p>
      <w:pPr>
        <w:pStyle w:val="Heading3"/>
      </w:pPr>
      <w:r>
        <w:rPr>
          <w:sz w:val="24"/>
        </w:rPr>
        <w:t>Slide 31/33: (Untitled)</w:t>
      </w:r>
    </w:p>
    <w:p>
      <w:r>
        <w:rPr>
          <w:i/>
          <w:color w:val="888888"/>
        </w:rPr>
        <w:t>[Image placeholder]</w:t>
      </w:r>
    </w:p>
    <w:p>
      <w:pPr>
        <w:pStyle w:val="Heading3"/>
      </w:pPr>
      <w:r>
        <w:rPr>
          <w:sz w:val="24"/>
        </w:rPr>
        <w:t>Slide 32/33: (Untitled)</w:t>
      </w:r>
    </w:p>
    <w:p>
      <w:r>
        <w:rPr>
          <w:i/>
          <w:color w:val="888888"/>
        </w:rPr>
        <w:t>[Image placeholder]</w:t>
      </w:r>
    </w:p>
    <w:p>
      <w:pPr>
        <w:pStyle w:val="Heading3"/>
      </w:pPr>
      <w:r>
        <w:rPr>
          <w:sz w:val="24"/>
        </w:rPr>
        <w:t>Slide 33/33: (Untitled)</w:t>
      </w:r>
    </w:p>
    <w:p>
      <w:r>
        <w:rPr>
          <w:i/>
          <w:color w:val="888888"/>
        </w:rPr>
        <w:t>[Image placeholder]</w:t>
      </w:r>
    </w:p>
    <w:p>
      <w:pPr>
        <w:pStyle w:val="Heading2"/>
      </w:pPr>
      <w:r>
        <w:t>Assignment</w:t>
      </w:r>
    </w:p>
    <w:p>
      <w:r>
        <w:rPr>
          <w:b/>
          <w:color w:val="008800"/>
        </w:rPr>
        <w:t>[Assignment 02]: Introduction to the Data Model</w:t>
      </w:r>
    </w:p>
    <w:p>
      <w:r>
        <w:rPr>
          <w:i/>
          <w:sz w:val="18"/>
        </w:rPr>
        <w:t>File: 02 - Introduction to the Data Model.pdf</w:t>
      </w:r>
    </w:p>
    <w:p/>
    <w:p>
      <w:pPr>
        <w:spacing w:before="240"/>
        <w:jc w:val="center"/>
      </w:pPr>
      <w:r>
        <w:rPr>
          <w:i/>
          <w:color w:val="999999"/>
          <w:sz w:val="16"/>
        </w:rPr>
        <w:t>--- End of Lesson 2: Introduction to the Data Model | 33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