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3: IS Fund_03- Introduction to the Extending the Date mobel</w:t>
      </w:r>
    </w:p>
    <w:p>
      <w:pPr>
        <w:spacing w:after="40"/>
      </w:pPr>
      <w:r>
        <w:rPr>
          <w:i/>
          <w:color w:val="999999"/>
          <w:sz w:val="16"/>
        </w:rPr>
        <w:t>Source: IS Fund_03- Introduction to the Extending the Date mobel.pptx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1/37: (Untitled)</w:t>
      </w:r>
    </w:p>
    <w:p>
      <w:r>
        <w:rPr>
          <w:i/>
          <w:color w:val="888888"/>
        </w:rPr>
        <w:t>[Image placeholder]</w:t>
      </w:r>
    </w:p>
    <w:p>
      <w:pPr>
        <w:pStyle w:val="Heading3"/>
      </w:pPr>
      <w:r>
        <w:rPr>
          <w:sz w:val="24"/>
        </w:rPr>
        <w:t>Slide 2/37: (Untitled)</w:t>
      </w:r>
    </w:p>
    <w:p>
      <w:r>
        <w:rPr>
          <w:i/>
          <w:color w:val="888888"/>
        </w:rPr>
        <w:t>[Image placeholder]</w:t>
      </w:r>
    </w:p>
    <w:p>
      <w:pPr>
        <w:pStyle w:val="Heading3"/>
      </w:pPr>
      <w:r>
        <w:rPr>
          <w:sz w:val="24"/>
        </w:rPr>
        <w:t>Slide 3/37: (Untitled)</w:t>
      </w:r>
    </w:p>
    <w:p>
      <w:r>
        <w:rPr>
          <w:i/>
          <w:color w:val="888888"/>
        </w:rPr>
        <w:t>[Image placeholder]</w:t>
      </w:r>
    </w:p>
    <w:p>
      <w:pPr>
        <w:pStyle w:val="Heading3"/>
      </w:pPr>
      <w:r>
        <w:rPr>
          <w:sz w:val="24"/>
        </w:rPr>
        <w:t>Slide 4/37: (Untitled)</w:t>
      </w:r>
    </w:p>
    <w:p>
      <w:r>
        <w:rPr>
          <w:i/>
          <w:color w:val="888888"/>
        </w:rPr>
        <w:t>[Image placeholder]</w:t>
      </w:r>
    </w:p>
    <w:p>
      <w:pPr>
        <w:spacing w:before="80" w:after="80"/>
        <w:shd w:fill="E8E8E8" w:val="clear"/>
      </w:pPr>
      <w:r>
        <w:rPr>
          <w:i/>
          <w:color w:val="444444"/>
          <w:sz w:val="18"/>
        </w:rPr>
        <w:t>Speaker Notes: Entity</w:t>
        <w:br/>
        <w:t>At its simplest, the Guidewire data model is a set of XML- formatted metadata definitions of entities and typelists. An entity defines a set of fields for information</w:t>
      </w:r>
    </w:p>
    <w:p>
      <w:pPr>
        <w:pStyle w:val="Heading3"/>
      </w:pPr>
      <w:r>
        <w:rPr>
          <w:sz w:val="24"/>
        </w:rPr>
        <w:t>Slide 5/37: (Untitled)</w:t>
      </w:r>
    </w:p>
    <w:p>
      <w:r>
        <w:rPr>
          <w:i/>
          <w:color w:val="888888"/>
        </w:rPr>
        <w:t>[Image placeholder]</w:t>
      </w:r>
    </w:p>
    <w:p>
      <w:pPr>
        <w:spacing w:before="80" w:after="80"/>
        <w:shd w:fill="E8E8E8" w:val="clear"/>
      </w:pPr>
      <w:r>
        <w:rPr>
          <w:i/>
          <w:color w:val="444444"/>
          <w:sz w:val="18"/>
        </w:rPr>
        <w:t>Speaker Notes: Base application entities</w:t>
        <w:br/>
        <w:t>Platform entities are always found in the folder. All ETI files in the are read- only. You cannot edit these files directly in Guidewire Studio and should not edit these files in any other application. Many platform entities have the attribute defined in the &lt;entity /&gt; element.</w:t>
        <w:br/>
        <w:br/>
        <w:t>Some application specific entities can also be found in the folder. Many application entities are extendable in the sense that they can be both subtyped and/or an entity extension can be created. Entities with the final="true“ attribute defined in the &lt;entity /&gt; element cannot be subtyped. Entities with the extendable="false" attribute defined in the &lt;entity /&gt; element cannot be extended in the sense that new elements cannot be added to the entity.</w:t>
      </w:r>
    </w:p>
    <w:p>
      <w:pPr>
        <w:pStyle w:val="Heading3"/>
      </w:pPr>
      <w:r>
        <w:rPr>
          <w:sz w:val="24"/>
        </w:rPr>
        <w:t>Slide 6/37: (Untitled)</w:t>
      </w:r>
    </w:p>
    <w:p>
      <w:r>
        <w:rPr>
          <w:i/>
          <w:color w:val="888888"/>
        </w:rPr>
        <w:t>[Image placeholder]</w:t>
      </w:r>
    </w:p>
    <w:p>
      <w:pPr>
        <w:spacing w:before="80" w:after="80"/>
        <w:shd w:fill="E8E8E8" w:val="clear"/>
      </w:pPr>
      <w:r>
        <w:rPr>
          <w:i/>
          <w:color w:val="444444"/>
          <w:sz w:val="18"/>
        </w:rPr>
        <w:t>Speaker Notes: Custom entities</w:t>
        <w:br/>
        <w:t>Custom entities are always found in the</w:t>
        <w:br/>
        <w:t>folder.</w:t>
      </w:r>
    </w:p>
    <w:p>
      <w:pPr>
        <w:pStyle w:val="Heading3"/>
      </w:pPr>
      <w:r>
        <w:rPr>
          <w:sz w:val="24"/>
        </w:rPr>
        <w:t>Slide 7/37: (Untitled)</w:t>
      </w:r>
    </w:p>
    <w:p>
      <w:r>
        <w:rPr>
          <w:i/>
          <w:color w:val="888888"/>
        </w:rPr>
        <w:t>[Image placeholder]</w:t>
      </w:r>
    </w:p>
    <w:p>
      <w:pPr>
        <w:spacing w:before="80" w:after="80"/>
        <w:shd w:fill="E8E8E8" w:val="clear"/>
      </w:pPr>
      <w:r>
        <w:rPr>
          <w:i/>
          <w:color w:val="444444"/>
          <w:sz w:val="18"/>
        </w:rPr>
        <w:t>Speaker Notes: Entity extension</w:t>
        <w:br/>
        <w:t>Note: To avoid future naming conflicts when Guidewire adds or changes base entities, Guidewire recommends that you add the suffix _ Ext to your entity names and new field names on base entities. Adding the _ Ext suffix to entity names results in Studio and the Data Dictionary listing these extensions next to any entities that they extend. For example, CreditHistory_Ext.</w:t>
        <w:br/>
        <w:br/>
        <w:t>If you add a new entity, its field names do not need the Ext suffix in their names, because you have the _ Ext suffix in the name of the entity.</w:t>
      </w:r>
    </w:p>
    <w:p>
      <w:pPr>
        <w:pStyle w:val="Heading3"/>
      </w:pPr>
      <w:r>
        <w:rPr>
          <w:sz w:val="24"/>
        </w:rPr>
        <w:t>Slide 8/37: (Untitled)</w:t>
      </w:r>
    </w:p>
    <w:p>
      <w:r>
        <w:rPr>
          <w:i/>
          <w:color w:val="888888"/>
        </w:rPr>
        <w:t>[Image placeholder]</w:t>
      </w:r>
    </w:p>
    <w:p>
      <w:pPr>
        <w:spacing w:before="80" w:after="80"/>
        <w:shd w:fill="E8E8E8" w:val="clear"/>
      </w:pPr>
      <w:r>
        <w:rPr>
          <w:i/>
          <w:color w:val="444444"/>
          <w:sz w:val="18"/>
        </w:rPr>
        <w:t>Speaker Notes: Extending base application entities</w:t>
        <w:br/>
        <w:t>Customers can create or edit entity extensions. Entity extensions are always found in the .. \modules\configuration\config\extensions\entity\folder.</w:t>
        <w:br/>
        <w:br/>
        <w:t>Guidewire provides certain entity extensions as part of the base application configuration. Many of the extension index definitions address performance issues. Other extensions provide the ability to configure the data model in ways that would not be possible if the extension was part of the base data model. Do not simply overwrite a Guidewire extension with your own extension without understanding the full implications of the change.</w:t>
      </w:r>
    </w:p>
    <w:p>
      <w:pPr>
        <w:pStyle w:val="Heading3"/>
      </w:pPr>
      <w:r>
        <w:rPr>
          <w:sz w:val="24"/>
        </w:rPr>
        <w:t>Slide 9/37: (Untitled)</w:t>
      </w:r>
    </w:p>
    <w:p>
      <w:r>
        <w:rPr>
          <w:i/>
          <w:color w:val="888888"/>
        </w:rPr>
        <w:t>[Image placeholder]</w:t>
      </w:r>
    </w:p>
    <w:p>
      <w:pPr>
        <w:spacing w:before="80" w:after="80"/>
        <w:shd w:fill="E8E8E8" w:val="clear"/>
      </w:pPr>
      <w:r>
        <w:rPr>
          <w:i/>
          <w:color w:val="444444"/>
          <w:sz w:val="18"/>
        </w:rPr>
        <w:t>Speaker Notes: Internal Entity Extension</w:t>
        <w:br/>
        <w:t>The EIX file contains extensions to the platform-level entities that are required for the base application and cannot be modified. EIX files are extensions to platform-layer entities created by Guidewire development to meet the needs of a given application's base data model.</w:t>
        <w:br/>
        <w:br/>
        <w:t>EIX files are always found in the</w:t>
        <w:br/>
        <w:t>\modules\configuration\config\metadata\entify\ folder. All ETI andEIX files in the are read-only. You cannot edit these files directly in Guidewire Studio and should not edit these files in any other application.</w:t>
        <w:br/>
        <w:br/>
        <w:t>Because files are neither created nor modified by configuration developers, this lesson does not discuss their structure. If you need to make multiple extensions to a single entity at different points in time, all extensions for that entity should be added to the same ETX file.</w:t>
      </w:r>
    </w:p>
    <w:p>
      <w:pPr>
        <w:pStyle w:val="Heading3"/>
      </w:pPr>
      <w:r>
        <w:rPr>
          <w:sz w:val="24"/>
        </w:rPr>
        <w:t>Slide 10/37: (Untitled)</w:t>
      </w:r>
    </w:p>
    <w:p>
      <w:r>
        <w:rPr>
          <w:i/>
          <w:color w:val="888888"/>
        </w:rPr>
        <w:t>[Image placeholder]</w:t>
      </w:r>
    </w:p>
    <w:p>
      <w:pPr>
        <w:spacing w:before="80" w:after="80"/>
        <w:shd w:fill="E8E8E8" w:val="clear"/>
      </w:pPr>
      <w:r>
        <w:rPr>
          <w:i/>
          <w:color w:val="444444"/>
          <w:sz w:val="18"/>
        </w:rPr>
        <w:t>Speaker Notes: Entity extensions and Java classes</w:t>
        <w:br/>
        <w:t>For a base application data model entity, the entity is defined by both its original ETI file and the ETX extending file, if one exists. In certain cases, there is an internal entity extension, EIX, file. Regardless of which file the field is declared in, all fields from all files become the generated Java class.</w:t>
        <w:br/>
        <w:br/>
        <w:t>For fields that are added to a base application entity, Guidewire recommends that the field name should end with the suffix Ext. In the slide example, the</w:t>
        <w:br/>
        <w:t>ABContact.etx entity extension  file contains the WebAddress Ext field.</w:t>
        <w:br/>
        <w:br/>
        <w:t>Students coming from an Object- Oriented Programming (OOP)  background should be aware that the term "extend" gets used inOOP differently than it does in Guidewire. In OOP, the term "extend" is used to refer to creating a new subclass that extends some parent superclass.</w:t>
        <w:br/>
        <w:br/>
        <w:t>In Guidewire data model configuration, the term "extencf’ is sometimes used to refer to adding new fields to an existing base application entity. In this sense, no new subclass or subtype entity is getting created. One is simply adding additional fields to an existing base application entity</w:t>
      </w:r>
    </w:p>
    <w:p>
      <w:pPr>
        <w:pStyle w:val="Heading3"/>
      </w:pPr>
      <w:r>
        <w:rPr>
          <w:sz w:val="24"/>
        </w:rPr>
        <w:t>Slide 11/37: (Untitled)</w:t>
      </w:r>
    </w:p>
    <w:p>
      <w:r>
        <w:rPr>
          <w:i/>
          <w:color w:val="888888"/>
        </w:rPr>
        <w:t>[Image placeholder]</w:t>
      </w:r>
    </w:p>
    <w:p>
      <w:pPr>
        <w:spacing w:before="80" w:after="80"/>
        <w:shd w:fill="E8E8E8" w:val="clear"/>
      </w:pPr>
      <w:r>
        <w:rPr>
          <w:i/>
          <w:color w:val="444444"/>
          <w:sz w:val="18"/>
        </w:rPr>
        <w:t>Speaker Notes: Typelist</w:t>
        <w:br/>
        <w:t>You can programmatically get a list of typekeys in a typelist. You can choose whether to get all typekeys, including retired typekeys as well as non-retire typekeys, or just non-retired typekeys. You can retire a typekey in the data model  configuration files. To gettypekeys from a typelist, call the getTypeKeys method: eRetiredTypekeys)</w:t>
      </w:r>
    </w:p>
    <w:p>
      <w:pPr>
        <w:pStyle w:val="Heading3"/>
      </w:pPr>
      <w:r>
        <w:rPr>
          <w:sz w:val="24"/>
        </w:rPr>
        <w:t>Slide 12/37: (Untitled)</w:t>
      </w:r>
    </w:p>
    <w:p>
      <w:r>
        <w:rPr>
          <w:i/>
          <w:color w:val="888888"/>
        </w:rPr>
        <w:t>[Image placeholder]</w:t>
      </w:r>
    </w:p>
    <w:p>
      <w:pPr>
        <w:spacing w:before="80" w:after="80"/>
        <w:shd w:fill="E8E8E8" w:val="clear"/>
      </w:pPr>
      <w:r>
        <w:rPr>
          <w:i/>
          <w:color w:val="444444"/>
          <w:sz w:val="18"/>
        </w:rPr>
        <w:t>Speaker Notes: Typelist extension</w:t>
        <w:br/>
        <w:t>Filetypes are defined as follows: .tti - Typelist Type Info, a single Guidewire or custom typelist declaration. The name of the file corresponds to the name of the typelist being declared. -tix - Typelist Internal extension, a single Guidewire typelist extension. The name of the file corresponds to the name of the Guidewire typelist being extended.</w:t>
        <w:br/>
        <w:t>ttx - Typelist Type extension – a single Guidewire or custom typelist extension. The name of the file corresponds to the name</w:t>
      </w:r>
    </w:p>
    <w:p>
      <w:pPr>
        <w:pStyle w:val="Heading3"/>
      </w:pPr>
      <w:r>
        <w:rPr>
          <w:sz w:val="24"/>
        </w:rPr>
        <w:t>Slide 13/37: (Untitled)</w:t>
      </w:r>
    </w:p>
    <w:p>
      <w:r>
        <w:rPr>
          <w:i/>
          <w:color w:val="888888"/>
        </w:rPr>
        <w:t>[Image placeholder]</w:t>
      </w:r>
    </w:p>
    <w:p>
      <w:pPr>
        <w:spacing w:before="80" w:after="80"/>
        <w:shd w:fill="E8E8E8" w:val="clear"/>
      </w:pPr>
      <w:r>
        <w:rPr>
          <w:i/>
          <w:color w:val="444444"/>
          <w:sz w:val="18"/>
        </w:rPr>
        <w:t>Speaker Notes: Typelists in the data model (1 of 2)</w:t>
        <w:br/>
        <w:t>Internal typelists are base application typelists marked as final and cannot beied or extended. Internal base application logic depends on these typelists. Extendable typelists are base application typelists that can be modified or extended by the customers. Custom typelists are created bythe customers.</w:t>
      </w:r>
    </w:p>
    <w:p>
      <w:pPr>
        <w:pStyle w:val="Heading3"/>
      </w:pPr>
      <w:r>
        <w:rPr>
          <w:sz w:val="24"/>
        </w:rPr>
        <w:t>Slide 14/37: (Untitled)</w:t>
      </w:r>
    </w:p>
    <w:p>
      <w:r>
        <w:rPr>
          <w:i/>
          <w:color w:val="888888"/>
        </w:rPr>
        <w:t>[Image placeholder]</w:t>
      </w:r>
    </w:p>
    <w:p>
      <w:pPr>
        <w:spacing w:before="80" w:after="80"/>
        <w:shd w:fill="E8E8E8" w:val="clear"/>
      </w:pPr>
      <w:r>
        <w:rPr>
          <w:i/>
          <w:color w:val="444444"/>
          <w:sz w:val="18"/>
        </w:rPr>
        <w:t>Speaker Notes: Typelists in the data model (2 of 2)</w:t>
        <w:br/>
        <w:t>In some cases, an internal Typelist does not have a physical file that is exposed in Guidewire Studio. One type of virtual Typelist is a Typelist of subtypes for a given supertype. You will not find the virtual Typelists in Studio, but you can see the Java classes that get generated from them. For example, you can use the CTRL + SHIFT + N to search for ABContact.java and you will seethat one of the search results is in the</w:t>
        <w:br/>
        <w:t>configuration\generated\typekey folder but there is not matching physical Typelist.</w:t>
      </w:r>
    </w:p>
    <w:p>
      <w:pPr>
        <w:pStyle w:val="Heading3"/>
      </w:pPr>
      <w:r>
        <w:rPr>
          <w:sz w:val="24"/>
        </w:rPr>
        <w:t>Slide 15/37: (Untitled)</w:t>
      </w:r>
    </w:p>
    <w:p>
      <w:r>
        <w:rPr>
          <w:i/>
          <w:color w:val="888888"/>
        </w:rPr>
        <w:t>[Image placeholder]</w:t>
      </w:r>
    </w:p>
    <w:p>
      <w:pPr>
        <w:pStyle w:val="Heading3"/>
      </w:pPr>
      <w:r>
        <w:rPr>
          <w:sz w:val="24"/>
        </w:rPr>
        <w:t>Slide 16/37: (Untitled)</w:t>
      </w:r>
    </w:p>
    <w:p>
      <w:r>
        <w:rPr>
          <w:i/>
          <w:color w:val="888888"/>
        </w:rPr>
        <w:t>[Image placeholder]</w:t>
      </w:r>
    </w:p>
    <w:p>
      <w:pPr>
        <w:spacing w:before="80" w:after="80"/>
        <w:shd w:fill="E8E8E8" w:val="clear"/>
      </w:pPr>
      <w:r>
        <w:rPr>
          <w:i/>
          <w:color w:val="444444"/>
          <w:sz w:val="18"/>
        </w:rPr>
        <w:t>Speaker Notes: Scenario</w:t>
        <w:br/>
        <w:t>An insurance company wants to implement a social media functionality to provide a more personalized experience to customers. Every customer has the option to accept or decline this service. The customer must either accept or decline, null values shouldn't be allowed — default value should be false. If  they accept the service then theinsurance company would like to store additional information about each customer. This information also needs to be displayed in the IJI and TrainingApp users have to be able to easily update it as needed. Please see the wireframe for more information. We are going to assume that the integration developers are currently implementing the integration points with the different external systems, so we need to configure only the Data Model and the User Interface. First, we are going to configure the Data Model to support this requirement and in later exercises we will make the</w:t>
        <w:br/>
        <w:t>necessary PCF changes to display the information in the User Interface.</w:t>
      </w:r>
    </w:p>
    <w:p>
      <w:pPr>
        <w:pStyle w:val="Heading3"/>
      </w:pPr>
      <w:r>
        <w:rPr>
          <w:sz w:val="24"/>
        </w:rPr>
        <w:t>Slide 17/37: (Untitled)</w:t>
      </w:r>
    </w:p>
    <w:p>
      <w:r>
        <w:rPr>
          <w:i/>
          <w:color w:val="888888"/>
        </w:rPr>
        <w:t>[Image placeholder]</w:t>
      </w:r>
    </w:p>
    <w:p>
      <w:pPr>
        <w:pStyle w:val="Heading3"/>
      </w:pPr>
      <w:r>
        <w:rPr>
          <w:sz w:val="24"/>
        </w:rPr>
        <w:t>Slide 18/37: (Untitled)</w:t>
      </w:r>
    </w:p>
    <w:p>
      <w:pPr>
        <w:pStyle w:val="Heading3"/>
      </w:pPr>
      <w:r>
        <w:rPr>
          <w:sz w:val="24"/>
        </w:rPr>
        <w:t>Slide 19/37: (Untitled)</w:t>
      </w:r>
    </w:p>
    <w:p>
      <w:r>
        <w:rPr>
          <w:i/>
          <w:color w:val="888888"/>
        </w:rPr>
        <w:t>[Image placeholder]</w:t>
      </w:r>
    </w:p>
    <w:p>
      <w:pPr>
        <w:pStyle w:val="Heading3"/>
      </w:pPr>
      <w:r>
        <w:rPr>
          <w:sz w:val="24"/>
        </w:rPr>
        <w:t>Slide 20/37: (Untitled)</w:t>
      </w:r>
    </w:p>
    <w:p>
      <w:pPr>
        <w:pStyle w:val="Heading3"/>
      </w:pPr>
      <w:r>
        <w:rPr>
          <w:sz w:val="24"/>
        </w:rPr>
        <w:t>Slide 21/37: (Untitled)</w:t>
      </w:r>
    </w:p>
    <w:p>
      <w:r>
        <w:rPr>
          <w:i/>
          <w:color w:val="888888"/>
        </w:rPr>
        <w:t>[Image placeholder]</w:t>
      </w:r>
    </w:p>
    <w:p>
      <w:pPr>
        <w:spacing w:before="80" w:after="80"/>
        <w:shd w:fill="E8E8E8" w:val="clear"/>
      </w:pPr>
      <w:r>
        <w:rPr>
          <w:i/>
          <w:color w:val="444444"/>
          <w:sz w:val="18"/>
        </w:rPr>
        <w:t>Speaker Notes: Demonstration</w:t>
        <w:br/>
        <w:t>As configuration developers, we want to create a typelist extension so that we can add new typecodes to existing base application typelists.</w:t>
      </w:r>
    </w:p>
    <w:p>
      <w:pPr>
        <w:pStyle w:val="Heading3"/>
      </w:pPr>
      <w:r>
        <w:rPr>
          <w:sz w:val="24"/>
        </w:rPr>
        <w:t>Slide 22/37: (Untitled)</w:t>
      </w:r>
    </w:p>
    <w:p>
      <w:pPr>
        <w:spacing w:before="80" w:after="80"/>
        <w:shd w:fill="E8E8E8" w:val="clear"/>
      </w:pPr>
      <w:r>
        <w:rPr>
          <w:i/>
          <w:color w:val="444444"/>
          <w:sz w:val="18"/>
        </w:rPr>
        <w:t>Speaker Notes: Demonstration</w:t>
        <w:br/>
        <w:t>As configuration developers, we want to create a typelist extension so that we can add new typecodes to existing base application typelists.</w:t>
      </w:r>
    </w:p>
    <w:p>
      <w:pPr>
        <w:pStyle w:val="Heading3"/>
      </w:pPr>
      <w:r>
        <w:rPr>
          <w:sz w:val="24"/>
        </w:rPr>
        <w:t>Slide 23/37: (Untitled)</w:t>
      </w:r>
    </w:p>
    <w:p>
      <w:r>
        <w:rPr>
          <w:i/>
          <w:color w:val="888888"/>
        </w:rPr>
        <w:t>[Image placeholder]</w:t>
      </w:r>
    </w:p>
    <w:p>
      <w:pPr>
        <w:pStyle w:val="Heading3"/>
      </w:pPr>
      <w:r>
        <w:rPr>
          <w:sz w:val="24"/>
        </w:rPr>
        <w:t>Slide 24/37: (Untitled)</w:t>
      </w:r>
    </w:p>
    <w:p>
      <w:r>
        <w:rPr>
          <w:i/>
          <w:color w:val="888888"/>
        </w:rPr>
        <w:t>[Image placeholder]</w:t>
      </w:r>
    </w:p>
    <w:p>
      <w:pPr>
        <w:pStyle w:val="Heading3"/>
      </w:pPr>
      <w:r>
        <w:rPr>
          <w:sz w:val="24"/>
        </w:rPr>
        <w:t>Slide 25/37: (Untitled)</w:t>
      </w:r>
    </w:p>
    <w:p>
      <w:r>
        <w:rPr>
          <w:i/>
          <w:color w:val="888888"/>
        </w:rPr>
        <w:t>[Image placeholder]</w:t>
      </w:r>
    </w:p>
    <w:p>
      <w:pPr>
        <w:pStyle w:val="Heading3"/>
      </w:pPr>
      <w:r>
        <w:rPr>
          <w:sz w:val="24"/>
        </w:rPr>
        <w:t>Slide 26/37: (Untitled)</w:t>
      </w:r>
    </w:p>
    <w:p>
      <w:r>
        <w:rPr>
          <w:i/>
          <w:color w:val="888888"/>
        </w:rPr>
        <w:t>[Image placeholder]</w:t>
      </w:r>
    </w:p>
    <w:p>
      <w:pPr>
        <w:pStyle w:val="Heading3"/>
      </w:pPr>
      <w:r>
        <w:rPr>
          <w:sz w:val="24"/>
        </w:rPr>
        <w:t>Slide 27/37: (Untitled)</w:t>
      </w:r>
    </w:p>
    <w:p>
      <w:r>
        <w:rPr>
          <w:i/>
          <w:color w:val="888888"/>
        </w:rPr>
        <w:t>[Image placeholder]</w:t>
      </w:r>
    </w:p>
    <w:p>
      <w:pPr>
        <w:pStyle w:val="Heading3"/>
      </w:pPr>
      <w:r>
        <w:rPr>
          <w:sz w:val="24"/>
        </w:rPr>
        <w:t>Slide 28/37: (Untitled)</w:t>
      </w:r>
    </w:p>
    <w:p>
      <w:r>
        <w:rPr>
          <w:i/>
          <w:color w:val="888888"/>
        </w:rPr>
        <w:t>[Image placeholder]</w:t>
      </w:r>
    </w:p>
    <w:p>
      <w:pPr>
        <w:pStyle w:val="Heading3"/>
      </w:pPr>
      <w:r>
        <w:rPr>
          <w:sz w:val="24"/>
        </w:rPr>
        <w:t>Slide 29/37: (Untitled)</w:t>
      </w:r>
    </w:p>
    <w:p>
      <w:r>
        <w:rPr>
          <w:i/>
          <w:color w:val="888888"/>
        </w:rPr>
        <w:t>[Image placeholder]</w:t>
      </w:r>
    </w:p>
    <w:p>
      <w:pPr>
        <w:pStyle w:val="Heading3"/>
      </w:pPr>
      <w:r>
        <w:rPr>
          <w:sz w:val="24"/>
        </w:rPr>
        <w:t>Slide 30/37: (Untitled)</w:t>
      </w:r>
    </w:p>
    <w:p>
      <w:r>
        <w:rPr>
          <w:i/>
          <w:color w:val="888888"/>
        </w:rPr>
        <w:t>[Image placeholder]</w:t>
      </w:r>
    </w:p>
    <w:p>
      <w:pPr>
        <w:pStyle w:val="Heading3"/>
      </w:pPr>
      <w:r>
        <w:rPr>
          <w:sz w:val="24"/>
        </w:rPr>
        <w:t>Slide 31/37: (Untitled)</w:t>
      </w:r>
    </w:p>
    <w:p>
      <w:r>
        <w:rPr>
          <w:i/>
          <w:color w:val="888888"/>
        </w:rPr>
        <w:t>[Image placeholder]</w:t>
      </w:r>
    </w:p>
    <w:p>
      <w:pPr>
        <w:pStyle w:val="Heading3"/>
      </w:pPr>
      <w:r>
        <w:rPr>
          <w:sz w:val="24"/>
        </w:rPr>
        <w:t>Slide 32/37: (Untitled)</w:t>
      </w:r>
    </w:p>
    <w:p>
      <w:r>
        <w:rPr>
          <w:i/>
          <w:color w:val="888888"/>
        </w:rPr>
        <w:t>[Image placeholder]</w:t>
      </w:r>
    </w:p>
    <w:p>
      <w:pPr>
        <w:pStyle w:val="Heading3"/>
      </w:pPr>
      <w:r>
        <w:rPr>
          <w:sz w:val="24"/>
        </w:rPr>
        <w:t>Slide 33/37: (Untitled)</w:t>
      </w:r>
    </w:p>
    <w:p>
      <w:r>
        <w:rPr>
          <w:i/>
          <w:color w:val="888888"/>
        </w:rPr>
        <w:t>[Image placeholder]</w:t>
      </w:r>
    </w:p>
    <w:p>
      <w:pPr>
        <w:pStyle w:val="Heading3"/>
      </w:pPr>
      <w:r>
        <w:rPr>
          <w:sz w:val="24"/>
        </w:rPr>
        <w:t>Slide 34/37: (Untitled)</w:t>
      </w:r>
    </w:p>
    <w:p>
      <w:r>
        <w:rPr>
          <w:i/>
          <w:color w:val="888888"/>
        </w:rPr>
        <w:t>[Image placeholder]</w:t>
      </w:r>
    </w:p>
    <w:p>
      <w:pPr>
        <w:pStyle w:val="Heading3"/>
      </w:pPr>
      <w:r>
        <w:rPr>
          <w:sz w:val="24"/>
        </w:rPr>
        <w:t>Slide 35/37: (Untitled)</w:t>
      </w:r>
    </w:p>
    <w:p>
      <w:r>
        <w:rPr>
          <w:i/>
          <w:color w:val="888888"/>
        </w:rPr>
        <w:t>[Image placeholder]</w:t>
      </w:r>
    </w:p>
    <w:p>
      <w:pPr>
        <w:pStyle w:val="Heading3"/>
      </w:pPr>
      <w:r>
        <w:rPr>
          <w:sz w:val="24"/>
        </w:rPr>
        <w:t>Slide 36/37: (Untitled)</w:t>
      </w:r>
    </w:p>
    <w:p>
      <w:r>
        <w:rPr>
          <w:i/>
          <w:color w:val="888888"/>
        </w:rPr>
        <w:t>[Image placeholder]</w:t>
      </w:r>
    </w:p>
    <w:p>
      <w:pPr>
        <w:pStyle w:val="Heading3"/>
      </w:pPr>
      <w:r>
        <w:rPr>
          <w:sz w:val="24"/>
        </w:rPr>
        <w:t>Slide 37/37: (Untitled)</w:t>
      </w:r>
    </w:p>
    <w:p>
      <w:r>
        <w:rPr>
          <w:i/>
          <w:color w:val="888888"/>
        </w:rPr>
        <w:t>[Image placeholder]</w:t>
      </w:r>
    </w:p>
    <w:p>
      <w:pPr>
        <w:spacing w:before="80" w:after="80"/>
        <w:shd w:fill="E8E8E8" w:val="clear"/>
      </w:pPr>
      <w:r>
        <w:rPr>
          <w:i/>
          <w:color w:val="444444"/>
          <w:sz w:val="18"/>
        </w:rPr>
        <w:t>Speaker Notes: .</w:t>
      </w:r>
    </w:p>
    <w:p>
      <w:pPr>
        <w:pStyle w:val="Heading2"/>
      </w:pPr>
      <w:r>
        <w:t>Assignment</w:t>
      </w:r>
    </w:p>
    <w:p>
      <w:r>
        <w:rPr>
          <w:b/>
          <w:color w:val="008800"/>
        </w:rPr>
        <w:t>[Assignment 03]: Extending the Data Model</w:t>
      </w:r>
    </w:p>
    <w:p>
      <w:r>
        <w:rPr>
          <w:i/>
          <w:sz w:val="18"/>
        </w:rPr>
        <w:t>File: 03 - Extending the Data Model.pdf</w:t>
      </w:r>
    </w:p>
    <w:p/>
    <w:p>
      <w:pPr>
        <w:spacing w:before="240"/>
        <w:jc w:val="center"/>
      </w:pPr>
      <w:r>
        <w:rPr>
          <w:i/>
          <w:color w:val="999999"/>
          <w:sz w:val="16"/>
        </w:rPr>
        <w:t>--- End of Lesson 3: IS Fund_03- Introduction to the Extending the Date mobel | 37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