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5: Introduction to Atomic widgets</w:t>
      </w:r>
    </w:p>
    <w:p>
      <w:pPr>
        <w:spacing w:after="40"/>
      </w:pPr>
      <w:r>
        <w:rPr>
          <w:i/>
          <w:color w:val="999999"/>
          <w:sz w:val="16"/>
        </w:rPr>
        <w:t>Source: IS_Fund_05-Introduction to Atomic widgets.pptx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1/40: (Untitled)</w:t>
      </w:r>
    </w:p>
    <w:p>
      <w:r>
        <w:rPr>
          <w:i/>
          <w:color w:val="888888"/>
        </w:rPr>
        <w:t>[Image placeholder]</w:t>
      </w:r>
    </w:p>
    <w:p>
      <w:pPr>
        <w:pStyle w:val="Heading3"/>
      </w:pPr>
      <w:r>
        <w:rPr>
          <w:sz w:val="24"/>
        </w:rPr>
        <w:t>Slide 2/40: (Untitled)</w:t>
      </w:r>
    </w:p>
    <w:p>
      <w:r>
        <w:rPr>
          <w:i/>
          <w:color w:val="888888"/>
        </w:rPr>
        <w:t>[Image placeholder]</w:t>
      </w:r>
    </w:p>
    <w:p>
      <w:pPr>
        <w:pStyle w:val="Heading3"/>
      </w:pPr>
      <w:r>
        <w:rPr>
          <w:sz w:val="24"/>
        </w:rPr>
        <w:t>Slide 3/40: (Untitled)</w:t>
      </w:r>
    </w:p>
    <w:p>
      <w:r>
        <w:rPr>
          <w:i/>
          <w:color w:val="888888"/>
        </w:rPr>
        <w:t>[Image placeholder]</w:t>
      </w:r>
    </w:p>
    <w:p>
      <w:pPr>
        <w:pStyle w:val="Heading3"/>
      </w:pPr>
      <w:r>
        <w:rPr>
          <w:sz w:val="24"/>
        </w:rPr>
        <w:t>Slide 4/40: (Untitled)</w:t>
      </w:r>
    </w:p>
    <w:p>
      <w:r>
        <w:rPr>
          <w:i/>
          <w:color w:val="888888"/>
        </w:rPr>
        <w:t>[Image placeholder]</w:t>
      </w:r>
    </w:p>
    <w:p>
      <w:pPr>
        <w:spacing w:before="80" w:after="80"/>
        <w:shd w:fill="E8E8E8" w:val="clear"/>
      </w:pPr>
      <w:r>
        <w:rPr>
          <w:i/>
          <w:color w:val="444444"/>
          <w:sz w:val="18"/>
        </w:rPr>
        <w:t>Speaker Notes: Atomic widgets</w:t>
        <w:br/>
        <w:t>A widget is a PCF element that a Guidewire application renders into an HTML object. Buttons, menus, text boxes, and dropdown lists are all examples of PCF elements that are considered widgets. Some widgets that are not visually presented in the web browser, but are rendered as an HTML object, such as a hidden input</w:t>
        <w:br/>
        <w:br/>
        <w:t>Display key is a Guidewire application mechanism that allows locale-specific texts to be dynamically rendered in the browser depending on the users internationalization language settings. Every key has one or more localized text values. When a PCF file references a display key, the application converts the key to one of the localized values depending on the users language settings.</w:t>
      </w:r>
    </w:p>
    <w:p>
      <w:pPr>
        <w:pStyle w:val="Heading3"/>
      </w:pPr>
      <w:r>
        <w:rPr>
          <w:sz w:val="24"/>
        </w:rPr>
        <w:t>Slide 5/40: (Untitled)</w:t>
      </w:r>
    </w:p>
    <w:p>
      <w:r>
        <w:rPr>
          <w:i/>
          <w:color w:val="888888"/>
        </w:rPr>
        <w:t>[Image placeholder]</w:t>
      </w:r>
    </w:p>
    <w:p>
      <w:pPr>
        <w:pStyle w:val="Heading3"/>
      </w:pPr>
      <w:r>
        <w:rPr>
          <w:sz w:val="24"/>
        </w:rPr>
        <w:t>Slide 6/40: (Untitled)</w:t>
      </w:r>
    </w:p>
    <w:p>
      <w:r>
        <w:rPr>
          <w:i/>
          <w:color w:val="888888"/>
        </w:rPr>
        <w:t>[Image placeholder]</w:t>
      </w:r>
    </w:p>
    <w:p>
      <w:pPr>
        <w:pStyle w:val="Heading3"/>
      </w:pPr>
      <w:r>
        <w:rPr>
          <w:sz w:val="24"/>
        </w:rPr>
        <w:t>Slide 7/40: (Untitled)</w:t>
      </w:r>
    </w:p>
    <w:p>
      <w:r>
        <w:rPr>
          <w:i/>
          <w:color w:val="888888"/>
        </w:rPr>
        <w:t>[Image placeholder]</w:t>
      </w:r>
    </w:p>
    <w:p>
      <w:pPr>
        <w:spacing w:before="80" w:after="80"/>
        <w:shd w:fill="E8E8E8" w:val="clear"/>
      </w:pPr>
      <w:r>
        <w:rPr>
          <w:i/>
          <w:color w:val="444444"/>
          <w:sz w:val="18"/>
        </w:rPr>
        <w:t>Speaker Notes: Review: Entities</w:t>
        <w:br/>
        <w:t>For every data model entity, the Guidewire application automatically creates a generated Java class with the same name. For every field in the data model entity, there is a field in the corresponding generated Java class. For example, the ABContact data model entity has a "Name" field, and the generated ABContact Java class also has a "Name" field.</w:t>
        <w:br/>
        <w:br/>
        <w:t>Whenever the application needs to work with an instance of a data model entity (which is stored as a row in the corresponding database table), the application creates an instance of the corresponding Java class. The information from the database is then read into that instance. For example, if a user searches for the ABContact whose name is "Express Auto", then the application finds the row in the database table for ABContact, creates an instance of the ABContact Gosu class, and reads the data from that row into that instance.</w:t>
      </w:r>
    </w:p>
    <w:p>
      <w:pPr>
        <w:pStyle w:val="Heading3"/>
      </w:pPr>
      <w:r>
        <w:rPr>
          <w:sz w:val="24"/>
        </w:rPr>
        <w:t>Slide 8/40: (Untitled)</w:t>
      </w:r>
    </w:p>
    <w:p>
      <w:r>
        <w:rPr>
          <w:i/>
          <w:color w:val="888888"/>
        </w:rPr>
        <w:t>[Image placeholder]</w:t>
      </w:r>
    </w:p>
    <w:p>
      <w:pPr>
        <w:spacing w:before="80" w:after="80"/>
        <w:shd w:fill="E8E8E8" w:val="clear"/>
      </w:pPr>
      <w:r>
        <w:rPr>
          <w:i/>
          <w:color w:val="444444"/>
          <w:sz w:val="18"/>
        </w:rPr>
        <w:t>Speaker Notes: Root object (I of 6)</w:t>
        <w:br/>
        <w:t>In this example we can see how the system uses the different components of the product architecture to display data from the database.</w:t>
        <w:br/>
        <w:br/>
        <w:t>The process starts when the user clicks on a button in the user interface to display the details of Express Auto. The next five slides break down into steps how TrainingApp responds to the button click.</w:t>
      </w:r>
    </w:p>
    <w:p>
      <w:pPr>
        <w:pStyle w:val="Heading3"/>
      </w:pPr>
      <w:r>
        <w:rPr>
          <w:sz w:val="24"/>
        </w:rPr>
        <w:t>Slide 9/40: (Untitled)</w:t>
      </w:r>
    </w:p>
    <w:p>
      <w:r>
        <w:rPr>
          <w:i/>
          <w:color w:val="888888"/>
        </w:rPr>
        <w:t>[Image placeholder]</w:t>
      </w:r>
    </w:p>
    <w:p>
      <w:pPr>
        <w:spacing w:before="80" w:after="80"/>
        <w:shd w:fill="E8E8E8" w:val="clear"/>
      </w:pPr>
      <w:r>
        <w:rPr>
          <w:i/>
          <w:color w:val="444444"/>
          <w:sz w:val="18"/>
        </w:rPr>
        <w:t>Speaker Notes: Root object (2 of 6)</w:t>
        <w:br/>
        <w:t>First the system creates aninstance from the appropriate generated Java class. The system knows to take that action from the database table. This will be discussed in more detail in the Introduction to the Data Model lesson.</w:t>
      </w:r>
    </w:p>
    <w:p>
      <w:pPr>
        <w:pStyle w:val="Heading3"/>
      </w:pPr>
      <w:r>
        <w:rPr>
          <w:sz w:val="24"/>
        </w:rPr>
        <w:t>Slide 10/40: (Untitled)</w:t>
      </w:r>
    </w:p>
    <w:p>
      <w:r>
        <w:rPr>
          <w:i/>
          <w:color w:val="888888"/>
        </w:rPr>
        <w:t>[Image placeholder]</w:t>
      </w:r>
    </w:p>
    <w:p>
      <w:pPr>
        <w:spacing w:before="80" w:after="80"/>
        <w:shd w:fill="E8E8E8" w:val="clear"/>
      </w:pPr>
      <w:r>
        <w:rPr>
          <w:i/>
          <w:color w:val="444444"/>
          <w:sz w:val="18"/>
        </w:rPr>
        <w:t>Speaker Notes: Root object (3 of 6)</w:t>
        <w:br/>
        <w:t>The data from the row in the database table will be loaded into the object instance. Remember, for every column in the database table, there is a field in the</w:t>
        <w:br/>
        <w:t>corresponding generated Java class.</w:t>
      </w:r>
    </w:p>
    <w:p>
      <w:pPr>
        <w:pStyle w:val="Heading3"/>
      </w:pPr>
      <w:r>
        <w:rPr>
          <w:sz w:val="24"/>
        </w:rPr>
        <w:t>Slide 11/40: (Untitled)</w:t>
      </w:r>
    </w:p>
    <w:p>
      <w:r>
        <w:rPr>
          <w:i/>
          <w:color w:val="888888"/>
        </w:rPr>
        <w:t>[Image placeholder]</w:t>
      </w:r>
    </w:p>
    <w:p>
      <w:pPr>
        <w:spacing w:before="80" w:after="80"/>
        <w:shd w:fill="E8E8E8" w:val="clear"/>
      </w:pPr>
      <w:r>
        <w:rPr>
          <w:i/>
          <w:color w:val="444444"/>
          <w:sz w:val="18"/>
        </w:rPr>
        <w:t>Speaker Notes: Root object (4 of 6)</w:t>
        <w:br/>
        <w:t>Once the object is initialized it will be passed in as an input parameter to the AB Contact SummaryDV PCF file. The object will be stored in the anABContact variable. Most container widgets have at least one required object that contains data fields. One way to think of this is that there is at least one input parameter for a given container This is called a root object. In later lessons, you will learn more about defining the required variable object and type.</w:t>
      </w:r>
    </w:p>
    <w:p>
      <w:pPr>
        <w:pStyle w:val="Heading3"/>
      </w:pPr>
      <w:r>
        <w:rPr>
          <w:sz w:val="24"/>
        </w:rPr>
        <w:t>Slide 12/40: (Untitled)</w:t>
      </w:r>
    </w:p>
    <w:p>
      <w:r>
        <w:rPr>
          <w:i/>
          <w:color w:val="888888"/>
        </w:rPr>
        <w:t>[Image placeholder]</w:t>
      </w:r>
    </w:p>
    <w:p>
      <w:pPr>
        <w:spacing w:before="80" w:after="80"/>
        <w:shd w:fill="E8E8E8" w:val="clear"/>
      </w:pPr>
      <w:r>
        <w:rPr>
          <w:i/>
          <w:color w:val="444444"/>
          <w:sz w:val="18"/>
        </w:rPr>
        <w:t>Speaker Notes: Root object (5 of 6)</w:t>
        <w:br/>
        <w:t>The different PCF elements can use the dot notation to access the data in the object. You may be already familiar with the dot notation from other object- oriented languages such as Java or C#.</w:t>
      </w:r>
    </w:p>
    <w:p>
      <w:pPr>
        <w:pStyle w:val="Heading3"/>
      </w:pPr>
      <w:r>
        <w:rPr>
          <w:sz w:val="24"/>
        </w:rPr>
        <w:t>Slide 13/40: (Untitled)</w:t>
      </w:r>
    </w:p>
    <w:p>
      <w:r>
        <w:rPr>
          <w:i/>
          <w:color w:val="888888"/>
        </w:rPr>
        <w:t>[Image placeholder]</w:t>
      </w:r>
    </w:p>
    <w:p>
      <w:pPr>
        <w:spacing w:before="80" w:after="80"/>
        <w:shd w:fill="E8E8E8" w:val="clear"/>
      </w:pPr>
      <w:r>
        <w:rPr>
          <w:i/>
          <w:color w:val="444444"/>
          <w:sz w:val="18"/>
        </w:rPr>
        <w:t>Speaker Notes: Root object (6 of 6)</w:t>
        <w:br/>
        <w:t>Finally, TrainingApp generates the HTML page that will be rendered in the browser. The example displays data retrieved from the database, but the data could also be result of a Gosu function call.</w:t>
      </w:r>
    </w:p>
    <w:p>
      <w:pPr>
        <w:pStyle w:val="Heading3"/>
      </w:pPr>
      <w:r>
        <w:rPr>
          <w:sz w:val="24"/>
        </w:rPr>
        <w:t>Slide 14/40: (Untitled)</w:t>
      </w:r>
    </w:p>
    <w:p>
      <w:r>
        <w:rPr>
          <w:i/>
          <w:color w:val="888888"/>
        </w:rPr>
        <w:t>[Image placeholder]</w:t>
      </w:r>
    </w:p>
    <w:p>
      <w:pPr>
        <w:spacing w:before="80" w:after="80"/>
        <w:shd w:fill="E8E8E8" w:val="clear"/>
      </w:pPr>
      <w:r>
        <w:rPr>
          <w:i/>
          <w:color w:val="444444"/>
          <w:sz w:val="18"/>
        </w:rPr>
        <w:t>Speaker Notes: Dot notation</w:t>
        <w:br/>
        <w:t>Dot notation is a language syntax used to identify data elements such as text fields, related objects or collections of objects.</w:t>
      </w:r>
    </w:p>
    <w:p>
      <w:pPr>
        <w:pStyle w:val="Heading3"/>
      </w:pPr>
      <w:r>
        <w:rPr>
          <w:sz w:val="24"/>
        </w:rPr>
        <w:t>Slide 15/40: (Untitled)</w:t>
      </w:r>
    </w:p>
    <w:p>
      <w:r>
        <w:rPr>
          <w:i/>
          <w:color w:val="888888"/>
        </w:rPr>
        <w:t>[Image placeholder]</w:t>
      </w:r>
    </w:p>
    <w:p>
      <w:pPr>
        <w:spacing w:before="80" w:after="80"/>
        <w:shd w:fill="E8E8E8" w:val="clear"/>
      </w:pPr>
      <w:r>
        <w:rPr>
          <w:i/>
          <w:color w:val="444444"/>
          <w:sz w:val="18"/>
        </w:rPr>
        <w:t>Speaker Notes: Dot notation syntax</w:t>
        <w:br/>
        <w:t>Note: While not relevant with the examples shown here, as a performance best practice, Guidewire recommends that you be aware of the performance impact of dot notation to access instance arrays on object access paths. You can write an object access path quickly, but your code at runtime can run extremely slowly. The following sample Gosu code suffers a performance problem. It acquires an array of addresses for all additional interests for all vehicles on the Personal Auto line of business.</w:t>
        <w:br/>
        <w:br/>
        <w:t xml:space="preserve">var personal Auto Line = Personal Auto Line </w:t>
        <w:br/>
        <w:br/>
        <w:t>var personal Auto Addresses =Personal Auto Line. Vehicles. Additionallnterests. Addresses</w:t>
        <w:br/>
        <w:br/>
        <w:t>Most likely this was not what the developer intended. Determine the most efficient means of acquiring just the data that you need. For example, rewrite the preceding example to use a query builder expression that fetches a more focused set of addresses from the application database.</w:t>
      </w:r>
    </w:p>
    <w:p>
      <w:pPr>
        <w:pStyle w:val="Heading3"/>
      </w:pPr>
      <w:r>
        <w:rPr>
          <w:sz w:val="24"/>
        </w:rPr>
        <w:t>Slide 16/40: (Untitled)</w:t>
      </w:r>
    </w:p>
    <w:p>
      <w:r>
        <w:rPr>
          <w:i/>
          <w:color w:val="888888"/>
        </w:rPr>
        <w:t>[Image placeholder]</w:t>
      </w:r>
    </w:p>
    <w:p>
      <w:pPr>
        <w:spacing w:before="80" w:after="80"/>
        <w:shd w:fill="E8E8E8" w:val="clear"/>
      </w:pPr>
      <w:r>
        <w:rPr>
          <w:i/>
          <w:color w:val="444444"/>
          <w:sz w:val="18"/>
        </w:rPr>
        <w:t>Speaker Notes: Dot notation examples</w:t>
        <w:br/>
        <w:t>Subypes: When a Guidewire application retrieves data from the database, it stores that data as an object in runtime memory- It works with the in-memory information until the data needs to be committed or re-retrieved from the database. When an object is created, all of the information about the object is copied into memory. If the object is subtyped, then data for all the fields at every relevant subtype level is retrieved. For example, if an object is an AB Doctor, then information is copied over for fields at the AB Contact, AB Person, AB Person Vendor, and AB Doctor levels. Fields associated with AB Place, AB Company, or AB Attorney are irrelevant and ignored.</w:t>
        <w:br/>
        <w:br/>
        <w:t>When an object is referenced, the server uses the datatype of the reference to understand the structure of the information in memory. For example, assume that there is an object named "an AB Contact" that stores information about an AB Doctor- If there is  reference to this object with a datatype of "ABDoctor", thethe server knows that the object will have AB Contact fields, AB Person fields, AB Person Vendor fields, and AB Doctor fields. If there is a reference to this object with a datatype of "AB Person", then the server knows that the object will have AB Contact fields, AB Person fields, ABPersonVendor fields, and ABDoctor fields. If there is a reference to this object with a datatype of "ABPerson", then the server knows that the object will have ABContact fields and ABPerson fields, but it will assume that the object has no fields beyond the ABPerson fields- There may be additional fields with information at the ABPersonVendor and ABDoctor levels, but the server will be unaware of them.</w:t>
        <w:br/>
        <w:br/>
        <w:t>In some cases, a method or user interface container receives a reference to an object, and the reference uses a "high-level" datatype (such as ABContact). This reference cannot be used as- is to access fields below the specified level because the server assumes those fields don't exist. There is a programming technique known as casting in which you explicitly state the datatype for a subtyped object. This is done using the syntax "as &lt;datatype&gt;", where &lt;datatype&gt; is the datatype that you want to explicitly identify- When youcast a reference, you areproviding the server with more information about the structure of the object- A casted reference can access fields that an uncasted reference cannot.</w:t>
      </w:r>
    </w:p>
    <w:p>
      <w:pPr>
        <w:pStyle w:val="Heading3"/>
      </w:pPr>
      <w:r>
        <w:rPr>
          <w:sz w:val="24"/>
        </w:rPr>
        <w:t>Slide 17/40: (Untitled)</w:t>
      </w:r>
    </w:p>
    <w:p>
      <w:r>
        <w:rPr>
          <w:i/>
          <w:color w:val="888888"/>
        </w:rPr>
        <w:t>[Image placeholder]</w:t>
      </w:r>
    </w:p>
    <w:p>
      <w:pPr>
        <w:pStyle w:val="Heading3"/>
      </w:pPr>
      <w:r>
        <w:rPr>
          <w:sz w:val="24"/>
        </w:rPr>
        <w:t>Slide 18/40: (Untitled)</w:t>
      </w:r>
    </w:p>
    <w:p>
      <w:r>
        <w:rPr>
          <w:i/>
          <w:color w:val="888888"/>
        </w:rPr>
        <w:t>[Image placeholder]</w:t>
      </w:r>
    </w:p>
    <w:p>
      <w:pPr>
        <w:spacing w:before="80" w:after="80"/>
        <w:shd w:fill="E8E8E8" w:val="clear"/>
      </w:pPr>
      <w:r>
        <w:rPr>
          <w:i/>
          <w:color w:val="444444"/>
          <w:sz w:val="18"/>
        </w:rPr>
        <w:t>Speaker Notes: User Story — Social Media (Part B) (1of 2)</w:t>
        <w:br/>
        <w:t>An insurance company wants to implement some social media functionality to provide a more personalized experience to customers. Every customer has the option to accept or decline this service. The customer must either accept or decline, null values shouldn't be allowed — default value should be false. If they accept the service, then the insurance company would like to store additional information about each customer. This information also needs to be displayed in the IJI and TrainingApp users have to be able to easily update it as needed.</w:t>
      </w:r>
    </w:p>
    <w:p>
      <w:pPr>
        <w:pStyle w:val="Heading3"/>
      </w:pPr>
      <w:r>
        <w:rPr>
          <w:sz w:val="24"/>
        </w:rPr>
        <w:t>Slide 19/40: (Untitled)</w:t>
      </w:r>
    </w:p>
    <w:p>
      <w:r>
        <w:rPr>
          <w:i/>
          <w:color w:val="888888"/>
        </w:rPr>
        <w:t>[Image placeholder]</w:t>
      </w:r>
    </w:p>
    <w:p>
      <w:pPr>
        <w:spacing w:before="80" w:after="80"/>
        <w:shd w:fill="E8E8E8" w:val="clear"/>
      </w:pPr>
      <w:r>
        <w:rPr>
          <w:i/>
          <w:color w:val="444444"/>
          <w:sz w:val="18"/>
        </w:rPr>
        <w:t>Speaker Notes: User Story — Social Media (Part B) (2 of 2)</w:t>
        <w:br/>
        <w:t>We are going to assume that the integration developers are currently implementing the integration points with the different external systems, so we need to configure only the Data Model and the User Interface.</w:t>
        <w:br/>
        <w:br/>
        <w:t>Recall that we have already implemented the required data model changes in one of the previous lessons. Now in Part B, we are going to make the necessary user interface changes to display the new fields.</w:t>
      </w:r>
    </w:p>
    <w:p>
      <w:pPr>
        <w:pStyle w:val="Heading3"/>
      </w:pPr>
      <w:r>
        <w:rPr>
          <w:sz w:val="24"/>
        </w:rPr>
        <w:t>Slide 20/40: (Untitled)</w:t>
      </w:r>
    </w:p>
    <w:p>
      <w:r>
        <w:rPr>
          <w:i/>
          <w:color w:val="888888"/>
        </w:rPr>
        <w:t>[Image placeholder]</w:t>
      </w:r>
    </w:p>
    <w:p>
      <w:pPr>
        <w:spacing w:before="80" w:after="80"/>
        <w:shd w:fill="E8E8E8" w:val="clear"/>
      </w:pPr>
      <w:r>
        <w:rPr>
          <w:i/>
          <w:color w:val="444444"/>
          <w:sz w:val="18"/>
        </w:rPr>
        <w:t>Speaker Notes: Demonstration: Social Media (Part B) Analysis</w:t>
        <w:br/>
        <w:t>Shown here is an example user story requirement requested by a fictional business analyst.</w:t>
      </w:r>
    </w:p>
    <w:p>
      <w:pPr>
        <w:pStyle w:val="Heading3"/>
      </w:pPr>
      <w:r>
        <w:rPr>
          <w:sz w:val="24"/>
        </w:rPr>
        <w:t>Slide 21/40: (Untitled)</w:t>
      </w:r>
    </w:p>
    <w:p>
      <w:pPr>
        <w:pStyle w:val="Heading3"/>
      </w:pPr>
      <w:r>
        <w:rPr>
          <w:sz w:val="24"/>
        </w:rPr>
        <w:t>Slide 22/40: (Untitled)</w:t>
      </w:r>
    </w:p>
    <w:p>
      <w:r>
        <w:rPr>
          <w:i/>
          <w:color w:val="888888"/>
        </w:rPr>
        <w:t>[Image placeholder]</w:t>
      </w:r>
    </w:p>
    <w:p>
      <w:pPr>
        <w:spacing w:before="80" w:after="80"/>
        <w:shd w:fill="E8E8E8" w:val="clear"/>
      </w:pPr>
      <w:r>
        <w:rPr>
          <w:i/>
          <w:color w:val="444444"/>
          <w:sz w:val="18"/>
        </w:rPr>
        <w:t>Speaker Notes: Demonstration: Social Media (Part B) Implementation</w:t>
        <w:br/>
        <w:t>Shown here is an example user story requirement requested by a fictional business analyst.</w:t>
      </w:r>
    </w:p>
    <w:p>
      <w:pPr>
        <w:pStyle w:val="Heading3"/>
      </w:pPr>
      <w:r>
        <w:rPr>
          <w:sz w:val="24"/>
        </w:rPr>
        <w:t>Slide 23/40: (Untitled)</w:t>
      </w:r>
    </w:p>
    <w:p>
      <w:pPr>
        <w:pStyle w:val="Heading3"/>
      </w:pPr>
      <w:r>
        <w:rPr>
          <w:sz w:val="24"/>
        </w:rPr>
        <w:t>Slide 24/40: (Untitled)</w:t>
      </w:r>
    </w:p>
    <w:p>
      <w:r>
        <w:rPr>
          <w:i/>
          <w:color w:val="888888"/>
        </w:rPr>
        <w:t>[Image placeholder]</w:t>
      </w:r>
    </w:p>
    <w:p>
      <w:pPr>
        <w:spacing w:before="80" w:after="80"/>
        <w:shd w:fill="E8E8E8" w:val="clear"/>
      </w:pPr>
      <w:r>
        <w:rPr>
          <w:i/>
          <w:color w:val="444444"/>
          <w:sz w:val="18"/>
        </w:rPr>
        <w:t>Speaker Notes: Demonstration: Social Media (Part B) Change Element Type</w:t>
        <w:br/>
        <w:t>Shown here is an example user story requirement requested by a fictional business analyst.</w:t>
      </w:r>
    </w:p>
    <w:p>
      <w:pPr>
        <w:pStyle w:val="Heading3"/>
      </w:pPr>
      <w:r>
        <w:rPr>
          <w:sz w:val="24"/>
        </w:rPr>
        <w:t>Slide 25/40: (Untitled)</w:t>
      </w:r>
    </w:p>
    <w:p>
      <w:pPr>
        <w:pStyle w:val="Heading3"/>
      </w:pPr>
      <w:r>
        <w:rPr>
          <w:sz w:val="24"/>
        </w:rPr>
        <w:t>Slide 26/40: (Untitled)</w:t>
      </w:r>
    </w:p>
    <w:p>
      <w:r>
        <w:rPr>
          <w:i/>
          <w:color w:val="888888"/>
        </w:rPr>
        <w:t>[Image placeholder]</w:t>
      </w:r>
    </w:p>
    <w:p>
      <w:pPr>
        <w:pStyle w:val="Heading3"/>
      </w:pPr>
      <w:r>
        <w:rPr>
          <w:sz w:val="24"/>
        </w:rPr>
        <w:t>Slide 27/40: (Untitled)</w:t>
      </w:r>
    </w:p>
    <w:p>
      <w:r>
        <w:rPr>
          <w:i/>
          <w:color w:val="888888"/>
        </w:rPr>
        <w:t>[Image placeholder]</w:t>
      </w:r>
    </w:p>
    <w:p>
      <w:pPr>
        <w:pStyle w:val="Heading3"/>
      </w:pPr>
      <w:r>
        <w:rPr>
          <w:sz w:val="24"/>
        </w:rPr>
        <w:t>Slide 28/40: (Untitled)</w:t>
      </w:r>
    </w:p>
    <w:p>
      <w:r>
        <w:rPr>
          <w:i/>
          <w:color w:val="888888"/>
        </w:rPr>
        <w:t>[Image placeholder]</w:t>
      </w:r>
    </w:p>
    <w:p>
      <w:pPr>
        <w:pStyle w:val="Heading3"/>
      </w:pPr>
      <w:r>
        <w:rPr>
          <w:sz w:val="24"/>
        </w:rPr>
        <w:t>Slide 29/40: (Untitled)</w:t>
      </w:r>
    </w:p>
    <w:p>
      <w:r>
        <w:rPr>
          <w:i/>
          <w:color w:val="888888"/>
        </w:rPr>
        <w:t>[Image placeholder]</w:t>
      </w:r>
    </w:p>
    <w:p>
      <w:pPr>
        <w:pStyle w:val="Heading3"/>
      </w:pPr>
      <w:r>
        <w:rPr>
          <w:sz w:val="24"/>
        </w:rPr>
        <w:t>Slide 30/40: (Untitled)</w:t>
      </w:r>
    </w:p>
    <w:p>
      <w:r>
        <w:rPr>
          <w:i/>
          <w:color w:val="888888"/>
        </w:rPr>
        <w:t>[Image placeholder]</w:t>
      </w:r>
    </w:p>
    <w:p>
      <w:pPr>
        <w:pStyle w:val="Heading3"/>
      </w:pPr>
      <w:r>
        <w:rPr>
          <w:sz w:val="24"/>
        </w:rPr>
        <w:t>Slide 31/40: (Untitled)</w:t>
      </w:r>
    </w:p>
    <w:p>
      <w:r>
        <w:rPr>
          <w:i/>
          <w:color w:val="888888"/>
        </w:rPr>
        <w:t>[Image placeholder]</w:t>
      </w:r>
    </w:p>
    <w:p>
      <w:pPr>
        <w:pStyle w:val="Heading3"/>
      </w:pPr>
      <w:r>
        <w:rPr>
          <w:sz w:val="24"/>
        </w:rPr>
        <w:t>Slide 32/40: (Untitled)</w:t>
      </w:r>
    </w:p>
    <w:p>
      <w:r>
        <w:rPr>
          <w:i/>
          <w:color w:val="888888"/>
        </w:rPr>
        <w:t>[Image placeholder]</w:t>
      </w:r>
    </w:p>
    <w:p>
      <w:pPr>
        <w:pStyle w:val="Heading3"/>
      </w:pPr>
      <w:r>
        <w:rPr>
          <w:sz w:val="24"/>
        </w:rPr>
        <w:t>Slide 33/40: (Untitled)</w:t>
      </w:r>
    </w:p>
    <w:p>
      <w:r>
        <w:rPr>
          <w:i/>
          <w:color w:val="888888"/>
        </w:rPr>
        <w:t>[Image placeholder]</w:t>
      </w:r>
    </w:p>
    <w:p>
      <w:pPr>
        <w:pStyle w:val="Heading3"/>
      </w:pPr>
      <w:r>
        <w:rPr>
          <w:sz w:val="24"/>
        </w:rPr>
        <w:t>Slide 34/40: (Untitled)</w:t>
      </w:r>
    </w:p>
    <w:p>
      <w:r>
        <w:rPr>
          <w:i/>
          <w:color w:val="888888"/>
        </w:rPr>
        <w:t>[Image placeholder]</w:t>
      </w:r>
    </w:p>
    <w:p>
      <w:pPr>
        <w:pStyle w:val="Heading3"/>
      </w:pPr>
      <w:r>
        <w:rPr>
          <w:sz w:val="24"/>
        </w:rPr>
        <w:t>Slide 35/40: (Untitled)</w:t>
      </w:r>
    </w:p>
    <w:p>
      <w:r>
        <w:rPr>
          <w:i/>
          <w:color w:val="888888"/>
        </w:rPr>
        <w:t>[Image placeholder]</w:t>
      </w:r>
    </w:p>
    <w:p>
      <w:pPr>
        <w:pStyle w:val="Heading3"/>
      </w:pPr>
      <w:r>
        <w:rPr>
          <w:sz w:val="24"/>
        </w:rPr>
        <w:t>Slide 36/40: (Untitled)</w:t>
      </w:r>
    </w:p>
    <w:p>
      <w:r>
        <w:rPr>
          <w:i/>
          <w:color w:val="888888"/>
        </w:rPr>
        <w:t>[Image placeholder]</w:t>
      </w:r>
    </w:p>
    <w:p>
      <w:pPr>
        <w:pStyle w:val="Heading3"/>
      </w:pPr>
      <w:r>
        <w:rPr>
          <w:sz w:val="24"/>
        </w:rPr>
        <w:t>Slide 37/40: (Untitled)</w:t>
      </w:r>
    </w:p>
    <w:p>
      <w:r>
        <w:rPr>
          <w:i/>
          <w:color w:val="888888"/>
        </w:rPr>
        <w:t>[Image placeholder]</w:t>
      </w:r>
    </w:p>
    <w:p>
      <w:pPr>
        <w:pStyle w:val="Heading3"/>
      </w:pPr>
      <w:r>
        <w:rPr>
          <w:sz w:val="24"/>
        </w:rPr>
        <w:t>Slide 38/40: (Untitled)</w:t>
      </w:r>
    </w:p>
    <w:p>
      <w:r>
        <w:rPr>
          <w:i/>
          <w:color w:val="888888"/>
        </w:rPr>
        <w:t>[Image placeholder]</w:t>
      </w:r>
    </w:p>
    <w:p>
      <w:pPr>
        <w:pStyle w:val="Heading3"/>
      </w:pPr>
      <w:r>
        <w:rPr>
          <w:sz w:val="24"/>
        </w:rPr>
        <w:t>Slide 39/40: (Untitled)</w:t>
      </w:r>
    </w:p>
    <w:p>
      <w:r>
        <w:rPr>
          <w:i/>
          <w:color w:val="888888"/>
        </w:rPr>
        <w:t>[Image placeholder]</w:t>
      </w:r>
    </w:p>
    <w:p>
      <w:pPr>
        <w:pStyle w:val="Heading3"/>
      </w:pPr>
      <w:r>
        <w:rPr>
          <w:sz w:val="24"/>
        </w:rPr>
        <w:t>Slide 40/40: (Untitled)</w:t>
      </w:r>
    </w:p>
    <w:p>
      <w:r>
        <w:rPr>
          <w:i/>
          <w:color w:val="888888"/>
        </w:rPr>
        <w:t>[Image placeholder]</w:t>
      </w:r>
    </w:p>
    <w:p>
      <w:pPr>
        <w:pStyle w:val="Heading2"/>
      </w:pPr>
      <w:r>
        <w:t>Assignment</w:t>
      </w:r>
    </w:p>
    <w:p>
      <w:r>
        <w:rPr>
          <w:b/>
          <w:color w:val="008800"/>
        </w:rPr>
        <w:t>[Assignment 05]: Atomic Widgets</w:t>
      </w:r>
    </w:p>
    <w:p>
      <w:r>
        <w:rPr>
          <w:i/>
          <w:sz w:val="18"/>
        </w:rPr>
        <w:t>File: 05 - Atomic Widgets.pdf</w:t>
      </w:r>
    </w:p>
    <w:p/>
    <w:p>
      <w:pPr>
        <w:spacing w:before="240"/>
        <w:jc w:val="center"/>
      </w:pPr>
      <w:r>
        <w:rPr>
          <w:i/>
          <w:color w:val="999999"/>
          <w:sz w:val="16"/>
        </w:rPr>
        <w:t>--- End of Lesson 5: Introduction to Atomic widgets | 40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