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07: InsuranceSuite Developer Fundamentals</w:t>
      </w:r>
    </w:p>
    <w:p>
      <w:pPr>
        <w:pStyle w:val="Heading2"/>
      </w:pPr>
      <w:r>
        <w:rPr>
          <w:color w:val="333333"/>
          <w:sz w:val="28"/>
        </w:rPr>
        <w:t>Lesson 7: Introduction to locations</w:t>
      </w:r>
    </w:p>
    <w:p>
      <w:pPr>
        <w:spacing w:after="40"/>
      </w:pPr>
      <w:r>
        <w:rPr>
          <w:i/>
          <w:color w:val="999999"/>
          <w:sz w:val="16"/>
        </w:rPr>
        <w:t>Source: IS_Fund_07-Introduction to locations.pptx</w:t>
      </w:r>
    </w:p>
    <w:p>
      <w:pPr>
        <w:pStyle w:val="Heading3"/>
      </w:pPr>
      <w:r>
        <w:t>Video References</w:t>
      </w:r>
    </w:p>
    <w:p>
      <w:pPr>
        <w:pStyle w:val="ListNumber"/>
      </w:pPr>
      <w:r>
        <w:rPr>
          <w:color w:val="0066CC"/>
          <w:sz w:val="20"/>
        </w:rPr>
        <w:t>[Video 1: IS_Fund_01_01.mp4]</w:t>
      </w:r>
    </w:p>
    <w:p>
      <w:pPr>
        <w:pStyle w:val="ListNumber"/>
      </w:pPr>
      <w:r>
        <w:rPr>
          <w:color w:val="0066CC"/>
          <w:sz w:val="20"/>
        </w:rPr>
        <w:t>[Video 2: IS_Fund_01_02.mp4]</w:t>
      </w:r>
    </w:p>
    <w:p>
      <w:pPr>
        <w:pStyle w:val="ListNumber"/>
      </w:pPr>
      <w:r>
        <w:rPr>
          <w:color w:val="0066CC"/>
          <w:sz w:val="20"/>
        </w:rPr>
        <w:t>[Video 3: IS_Fund_02_01.mp4]</w:t>
      </w:r>
    </w:p>
    <w:p>
      <w:pPr>
        <w:pStyle w:val="ListNumber"/>
      </w:pPr>
      <w:r>
        <w:rPr>
          <w:color w:val="0066CC"/>
          <w:sz w:val="20"/>
        </w:rPr>
        <w:t>[Video 4: IS_Fund_03_01.mp4]</w:t>
      </w:r>
    </w:p>
    <w:p>
      <w:pPr>
        <w:pStyle w:val="ListNumber"/>
      </w:pPr>
      <w:r>
        <w:rPr>
          <w:color w:val="0066CC"/>
          <w:sz w:val="20"/>
        </w:rPr>
        <w:t>[Video 5: IS_Fund_03_02.mkv]</w:t>
      </w:r>
    </w:p>
    <w:p>
      <w:pPr>
        <w:pStyle w:val="ListNumber"/>
      </w:pPr>
      <w:r>
        <w:rPr>
          <w:color w:val="0066CC"/>
          <w:sz w:val="20"/>
        </w:rPr>
        <w:t>[Video 6: IS_Fund_03_03.mp4]</w:t>
      </w:r>
    </w:p>
    <w:p>
      <w:pPr>
        <w:pStyle w:val="ListNumber"/>
      </w:pPr>
      <w:r>
        <w:rPr>
          <w:color w:val="0066CC"/>
          <w:sz w:val="20"/>
        </w:rPr>
        <w:t>[Video 7: IS_Fund_04.mp4]</w:t>
      </w:r>
    </w:p>
    <w:p>
      <w:pPr>
        <w:pStyle w:val="ListNumber"/>
      </w:pPr>
      <w:r>
        <w:rPr>
          <w:color w:val="0066CC"/>
          <w:sz w:val="20"/>
        </w:rPr>
        <w:t>[Video 8: IS_Fund_05_01.mp4]</w:t>
      </w:r>
    </w:p>
    <w:p>
      <w:pPr>
        <w:pStyle w:val="ListNumber"/>
      </w:pPr>
      <w:r>
        <w:rPr>
          <w:color w:val="0066CC"/>
          <w:sz w:val="20"/>
        </w:rPr>
        <w:t>[Video 9: IS_Fund_05_02.mp4]</w:t>
      </w:r>
    </w:p>
    <w:p>
      <w:pPr>
        <w:pStyle w:val="ListNumber"/>
      </w:pPr>
      <w:r>
        <w:rPr>
          <w:color w:val="0066CC"/>
          <w:sz w:val="20"/>
        </w:rPr>
        <w:t>[Video 10: IS_Fund_05_03.mp4]</w:t>
      </w:r>
    </w:p>
    <w:p>
      <w:pPr>
        <w:pStyle w:val="ListNumber"/>
      </w:pPr>
      <w:r>
        <w:rPr>
          <w:color w:val="0066CC"/>
          <w:sz w:val="20"/>
        </w:rPr>
        <w:t>[Video 11: IS_Fund_06_01.mp4]</w:t>
      </w:r>
    </w:p>
    <w:p>
      <w:pPr>
        <w:pStyle w:val="ListNumber"/>
      </w:pPr>
      <w:r>
        <w:rPr>
          <w:color w:val="0066CC"/>
          <w:sz w:val="20"/>
        </w:rPr>
        <w:t>[Video 12: IS_Fund_06_02.mp4]</w:t>
      </w:r>
    </w:p>
    <w:p>
      <w:pPr>
        <w:pStyle w:val="ListNumber"/>
      </w:pPr>
      <w:r>
        <w:rPr>
          <w:color w:val="0066CC"/>
          <w:sz w:val="20"/>
        </w:rPr>
        <w:t>[Video 13: IS_Fund_06_03.mp4]</w:t>
      </w:r>
    </w:p>
    <w:p>
      <w:pPr>
        <w:pStyle w:val="ListNumber"/>
      </w:pPr>
      <w:r>
        <w:rPr>
          <w:color w:val="0066CC"/>
          <w:sz w:val="20"/>
        </w:rPr>
        <w:t>[Video 14: IS_Fund_07.mp4]</w:t>
      </w:r>
    </w:p>
    <w:p>
      <w:pPr>
        <w:pStyle w:val="ListNumber"/>
      </w:pPr>
      <w:r>
        <w:rPr>
          <w:color w:val="0066CC"/>
          <w:sz w:val="20"/>
        </w:rPr>
        <w:t>[Video 15: IS_Fund_08.mp4]</w:t>
      </w:r>
    </w:p>
    <w:p>
      <w:pPr>
        <w:pStyle w:val="ListNumber"/>
      </w:pPr>
      <w:r>
        <w:rPr>
          <w:color w:val="0066CC"/>
          <w:sz w:val="20"/>
        </w:rPr>
        <w:t>[Video 16: IS_Fund_09.mp4]</w:t>
      </w:r>
    </w:p>
    <w:p>
      <w:pPr>
        <w:pStyle w:val="ListNumber"/>
      </w:pPr>
      <w:r>
        <w:rPr>
          <w:color w:val="0066CC"/>
          <w:sz w:val="20"/>
        </w:rPr>
        <w:t>[Video 17: IS_Fund_10.mp4]</w:t>
      </w:r>
    </w:p>
    <w:p>
      <w:pPr>
        <w:pStyle w:val="ListNumber"/>
      </w:pPr>
      <w:r>
        <w:rPr>
          <w:color w:val="0066CC"/>
          <w:sz w:val="20"/>
        </w:rPr>
        <w:t>[Video 18: IS_Fund_11.mp4]</w:t>
      </w:r>
    </w:p>
    <w:p>
      <w:pPr>
        <w:pStyle w:val="ListNumber"/>
      </w:pPr>
      <w:r>
        <w:rPr>
          <w:color w:val="0066CC"/>
          <w:sz w:val="20"/>
        </w:rPr>
        <w:t>[Video 19: IS_Fund_12.mp4]</w:t>
      </w:r>
    </w:p>
    <w:p>
      <w:pPr>
        <w:pStyle w:val="ListNumber"/>
      </w:pPr>
      <w:r>
        <w:rPr>
          <w:color w:val="0066CC"/>
          <w:sz w:val="20"/>
        </w:rPr>
        <w:t>[Video 20: IS_Fund_13.mp4]</w:t>
      </w:r>
    </w:p>
    <w:p>
      <w:pPr>
        <w:pStyle w:val="ListNumber"/>
      </w:pPr>
      <w:r>
        <w:rPr>
          <w:color w:val="0066CC"/>
          <w:sz w:val="20"/>
        </w:rPr>
        <w:t>[Video 21: IS_Fund_14.mp4]</w:t>
      </w:r>
    </w:p>
    <w:p>
      <w:pPr>
        <w:pStyle w:val="ListNumber"/>
      </w:pPr>
      <w:r>
        <w:rPr>
          <w:color w:val="0066CC"/>
          <w:sz w:val="20"/>
        </w:rPr>
        <w:t>[Video 22: IS_Fund_15.mp4]</w:t>
      </w:r>
    </w:p>
    <w:p>
      <w:pPr>
        <w:pStyle w:val="ListNumber"/>
      </w:pPr>
      <w:r>
        <w:rPr>
          <w:color w:val="0066CC"/>
          <w:sz w:val="20"/>
        </w:rPr>
        <w:t>[Video 23: IS_Fund_16.mp4]</w:t>
      </w:r>
    </w:p>
    <w:p>
      <w:pPr>
        <w:pStyle w:val="ListNumber"/>
      </w:pPr>
      <w:r>
        <w:rPr>
          <w:color w:val="0066CC"/>
          <w:sz w:val="20"/>
        </w:rPr>
        <w:t>[Video 24: IS_Fund_18.mp4]</w:t>
      </w:r>
    </w:p>
    <w:p>
      <w:pPr>
        <w:pStyle w:val="ListNumber"/>
      </w:pPr>
      <w:r>
        <w:rPr>
          <w:color w:val="0066CC"/>
          <w:sz w:val="20"/>
        </w:rPr>
        <w:t>[Video 25: IS_Fund_19.mp4]</w:t>
      </w:r>
    </w:p>
    <w:p>
      <w:pPr>
        <w:pStyle w:val="ListNumber"/>
      </w:pPr>
      <w:r>
        <w:rPr>
          <w:color w:val="0066CC"/>
          <w:sz w:val="20"/>
        </w:rPr>
        <w:t>[Video 26: IS_Fund_20.mp4]</w:t>
      </w:r>
    </w:p>
    <w:p>
      <w:pPr>
        <w:pStyle w:val="ListNumber"/>
      </w:pPr>
      <w:r>
        <w:rPr>
          <w:color w:val="0066CC"/>
          <w:sz w:val="20"/>
        </w:rPr>
        <w:t>[Video 27: IS_Fund_21.mp4]</w:t>
      </w:r>
    </w:p>
    <w:p>
      <w:pPr>
        <w:pStyle w:val="ListNumber"/>
      </w:pPr>
      <w:r>
        <w:rPr>
          <w:color w:val="0066CC"/>
          <w:sz w:val="20"/>
        </w:rPr>
        <w:t>[Video 28: IS_Fund_22.mp4]</w:t>
      </w:r>
    </w:p>
    <w:p>
      <w:pPr>
        <w:pStyle w:val="ListNumber"/>
      </w:pPr>
      <w:r>
        <w:rPr>
          <w:color w:val="0066CC"/>
          <w:sz w:val="20"/>
        </w:rPr>
        <w:t>[Video 29: Is_Fund_17 .mp4]</w:t>
      </w:r>
    </w:p>
    <w:p/>
    <w:p>
      <w:pPr>
        <w:pStyle w:val="Heading2"/>
      </w:pPr>
      <w:r>
        <w:t>Slide Content</w:t>
      </w:r>
    </w:p>
    <w:p>
      <w:pPr>
        <w:pStyle w:val="Heading3"/>
      </w:pPr>
      <w:r>
        <w:rPr>
          <w:sz w:val="24"/>
        </w:rPr>
        <w:t>Slide 1/30: (Untitled)</w:t>
      </w:r>
    </w:p>
    <w:p>
      <w:r>
        <w:rPr>
          <w:i/>
          <w:color w:val="888888"/>
        </w:rPr>
        <w:t>[Image placeholder]</w:t>
      </w:r>
    </w:p>
    <w:p>
      <w:pPr>
        <w:pStyle w:val="Heading3"/>
      </w:pPr>
      <w:r>
        <w:rPr>
          <w:sz w:val="24"/>
        </w:rPr>
        <w:t>Slide 2/30: (Untitled)</w:t>
      </w:r>
    </w:p>
    <w:p>
      <w:r>
        <w:rPr>
          <w:i/>
          <w:color w:val="888888"/>
        </w:rPr>
        <w:t>[Image placeholder]</w:t>
      </w:r>
    </w:p>
    <w:p>
      <w:pPr>
        <w:pStyle w:val="Heading3"/>
      </w:pPr>
      <w:r>
        <w:rPr>
          <w:sz w:val="24"/>
        </w:rPr>
        <w:t>Slide 3/30: (Untitled)</w:t>
      </w:r>
    </w:p>
    <w:p>
      <w:r>
        <w:rPr>
          <w:i/>
          <w:color w:val="888888"/>
        </w:rPr>
        <w:t>[Image placeholder]</w:t>
      </w:r>
    </w:p>
    <w:p>
      <w:pPr>
        <w:pStyle w:val="Heading3"/>
      </w:pPr>
      <w:r>
        <w:rPr>
          <w:sz w:val="24"/>
        </w:rPr>
        <w:t>Slide 4/30: (Untitled)</w:t>
      </w:r>
    </w:p>
    <w:p>
      <w:r>
        <w:rPr>
          <w:i/>
          <w:color w:val="888888"/>
        </w:rPr>
        <w:t>[Image placeholder]</w:t>
      </w:r>
    </w:p>
    <w:p>
      <w:pPr>
        <w:spacing w:before="80" w:after="80"/>
        <w:shd w:fill="E8E8E8" w:val="clear"/>
      </w:pPr>
      <w:r>
        <w:rPr>
          <w:i/>
          <w:color w:val="444444"/>
          <w:sz w:val="18"/>
        </w:rPr>
        <w:t>Speaker Notes: Locations</w:t>
        <w:br/>
        <w:t>Note: Both Widget and Location are conceptual representations in this diagram. There are no &lt;Widget /&gt; or &lt;Location elements. Similarly, both Atomic Widget and Container Widget are conceptual representations. There are no &lt;Atomic Widget or &lt;Container Widget /&gt; elements.</w:t>
      </w:r>
    </w:p>
    <w:p>
      <w:pPr>
        <w:pStyle w:val="Heading3"/>
      </w:pPr>
      <w:r>
        <w:rPr>
          <w:sz w:val="24"/>
        </w:rPr>
        <w:t>Slide 5/30: (Untitled)</w:t>
      </w:r>
    </w:p>
    <w:p>
      <w:r>
        <w:rPr>
          <w:i/>
          <w:color w:val="888888"/>
        </w:rPr>
        <w:t>[Image placeholder]</w:t>
      </w:r>
    </w:p>
    <w:p>
      <w:pPr>
        <w:spacing w:before="80" w:after="80"/>
        <w:shd w:fill="E8E8E8" w:val="clear"/>
      </w:pPr>
      <w:r>
        <w:rPr>
          <w:i/>
          <w:color w:val="444444"/>
          <w:sz w:val="18"/>
        </w:rPr>
        <w:t>Speaker Notes: Pages</w:t>
        <w:br/>
        <w:t>For more information, see the topic, "Introduction to Page Configuration" in the product documentation.</w:t>
      </w:r>
    </w:p>
    <w:p>
      <w:pPr>
        <w:pStyle w:val="Heading3"/>
      </w:pPr>
      <w:r>
        <w:rPr>
          <w:sz w:val="24"/>
        </w:rPr>
        <w:t>Slide 6/30: (Untitled)</w:t>
      </w:r>
    </w:p>
    <w:p>
      <w:r>
        <w:rPr>
          <w:i/>
          <w:color w:val="888888"/>
        </w:rPr>
        <w:t>[Image placeholder]</w:t>
      </w:r>
    </w:p>
    <w:p>
      <w:pPr>
        <w:spacing w:before="80" w:after="80"/>
        <w:shd w:fill="E8E8E8" w:val="clear"/>
      </w:pPr>
      <w:r>
        <w:rPr>
          <w:i/>
          <w:color w:val="444444"/>
          <w:sz w:val="18"/>
        </w:rPr>
        <w:t>Speaker Notes: Location groups</w:t>
        <w:br/>
        <w:t>A Location Group can be thought of as a "page group“ as it is fundamentally a collection of pages, each with its own screen- Location groups are used to gather together a set of screens that display data about a single primary object (such as a contact, a policy, an account, or a claim) or serve a single major application function (such as searching for data)- In the example on the screen, the location group displays data about a claim. Users navigate from one page in a Location Group to the next by clicking the links in the side bar.</w:t>
        <w:br/>
        <w:t>All the pages in a Location Group share a common info bar, actions menu, and side bar.</w:t>
        <w:br/>
        <w:t>The tab bar appears at the top of the screen and allows the user to navigate to different parts of the application. For example, to view another claim from the Claim dropdown menu, to go to an appropriate search screen or the address book,and so on.</w:t>
        <w:br/>
        <w:t xml:space="preserve">The info bar is the area directly below the tab bar that usually contains icons providing high-level information about the data in the screen area. In the example above, the info bar contains a "car" icon indicating this is a personal auto claim. It shows the name of the insured "Ins: Ray Newton", and the date of loss 001: 01/02/2021". Note that some Location Groups do not have info bars, in which case this area is blank. </w:t>
        <w:br/>
        <w:t>The actions menu is themenu accessible by clicking the "Actions" control. The side bar appears on the left of the screen and contains a set of links to the pages in the Location Group.Pages and Location Groups are both Locations.</w:t>
        <w:br/>
        <w:t>This gives widgets the ability to navigate to the Location Group (in which case thescreen for the first page listed in the Location Group is displayed) or to any page within the Location Group- For example, you might have one widget that needs to navigate to the ABContactLG Location Group, and a second widget that should specifically navigate to the Addresses page in the ABContactLG Location</w:t>
        <w:br/>
        <w:t>Group.</w:t>
      </w:r>
    </w:p>
    <w:p>
      <w:pPr>
        <w:pStyle w:val="Heading3"/>
      </w:pPr>
      <w:r>
        <w:rPr>
          <w:sz w:val="24"/>
        </w:rPr>
        <w:t>Slide 7/30: (Untitled)</w:t>
      </w:r>
    </w:p>
    <w:p>
      <w:r>
        <w:rPr>
          <w:i/>
          <w:color w:val="888888"/>
        </w:rPr>
        <w:t>[Image placeholder]</w:t>
      </w:r>
    </w:p>
    <w:p>
      <w:pPr>
        <w:spacing w:before="80" w:after="80"/>
        <w:shd w:fill="E8E8E8" w:val="clear"/>
      </w:pPr>
      <w:r>
        <w:rPr>
          <w:i/>
          <w:color w:val="444444"/>
          <w:sz w:val="18"/>
        </w:rPr>
        <w:t>Speaker Notes: Wizards</w:t>
        <w:br/>
        <w:t>A Wizard has multiple screens, but only one screen is displayed at a time. The screens in a Wizard have an order (though it may be possible for a user to traverse the screens out of order).</w:t>
        <w:br/>
        <w:br/>
        <w:t>The Wizard shown above does not exist in an application. Wizards are implemented differently in each business- oriented Guidewire applicatiom Multiple examples of wizards appear on the following slides, one for each of the primary applications.</w:t>
      </w:r>
    </w:p>
    <w:p>
      <w:pPr>
        <w:pStyle w:val="Heading3"/>
      </w:pPr>
      <w:r>
        <w:rPr>
          <w:sz w:val="24"/>
        </w:rPr>
        <w:t>Slide 8/30: (Untitled)</w:t>
      </w:r>
    </w:p>
    <w:p>
      <w:r>
        <w:rPr>
          <w:i/>
          <w:color w:val="888888"/>
        </w:rPr>
        <w:t>[Image placeholder]</w:t>
      </w:r>
    </w:p>
    <w:p>
      <w:pPr>
        <w:spacing w:before="80" w:after="80"/>
        <w:shd w:fill="E8E8E8" w:val="clear"/>
      </w:pPr>
      <w:r>
        <w:rPr>
          <w:i/>
          <w:color w:val="444444"/>
          <w:sz w:val="18"/>
        </w:rPr>
        <w:t>Speaker Notes: Wizard example: ClaimCenter</w:t>
        <w:br/>
        <w:t>The Wizard in the slide example is the New Claim Wizard, which guides users through manual creation of new claims, including identifying the policy, capturing the loss details, creating service requests and assigning the claim</w:t>
      </w:r>
    </w:p>
    <w:p>
      <w:pPr>
        <w:pStyle w:val="Heading3"/>
      </w:pPr>
      <w:r>
        <w:rPr>
          <w:sz w:val="24"/>
        </w:rPr>
        <w:t>Slide 9/30: (Untitled)</w:t>
      </w:r>
    </w:p>
    <w:p>
      <w:r>
        <w:rPr>
          <w:i/>
          <w:color w:val="888888"/>
        </w:rPr>
        <w:t>[Image placeholder]</w:t>
      </w:r>
    </w:p>
    <w:p>
      <w:pPr>
        <w:spacing w:before="80" w:after="80"/>
        <w:shd w:fill="E8E8E8" w:val="clear"/>
      </w:pPr>
      <w:r>
        <w:rPr>
          <w:i/>
          <w:color w:val="444444"/>
          <w:sz w:val="18"/>
        </w:rPr>
        <w:t>Speaker Notes: Wizard example: PolicyCenter</w:t>
        <w:br/>
        <w:t>The Wizard in the slide example is the Submission Wizard, which is used to create and modify submissions. A submission ends when it is withdrawn or bound.</w:t>
        <w:br/>
        <w:t>The outcome of successfully binding a submission is a policy.</w:t>
      </w:r>
    </w:p>
    <w:p>
      <w:pPr>
        <w:pStyle w:val="Heading3"/>
      </w:pPr>
      <w:r>
        <w:rPr>
          <w:sz w:val="24"/>
        </w:rPr>
        <w:t>Slide 10/30: (Untitled)</w:t>
      </w:r>
    </w:p>
    <w:p>
      <w:r>
        <w:rPr>
          <w:i/>
          <w:color w:val="888888"/>
        </w:rPr>
        <w:t>[Image placeholder]</w:t>
      </w:r>
    </w:p>
    <w:p>
      <w:pPr>
        <w:spacing w:before="80" w:after="80"/>
        <w:shd w:fill="E8E8E8" w:val="clear"/>
      </w:pPr>
      <w:r>
        <w:rPr>
          <w:i/>
          <w:color w:val="444444"/>
          <w:sz w:val="18"/>
        </w:rPr>
        <w:t>Speaker Notes: Wizard example: BillingCenter</w:t>
        <w:br/>
        <w:t>BillingCenter wizards are used to enter transactions as well as to create or modify producers and accounts as needed. The Wizard in the slide example is the Agency Bill Payment Wizard which is used to distribute payments received from agencies on behalf of policy holders.</w:t>
      </w:r>
    </w:p>
    <w:p>
      <w:pPr>
        <w:pStyle w:val="Heading3"/>
      </w:pPr>
      <w:r>
        <w:rPr>
          <w:sz w:val="24"/>
        </w:rPr>
        <w:t>Slide 11/30: (Untitled)</w:t>
      </w:r>
    </w:p>
    <w:p>
      <w:r>
        <w:rPr>
          <w:i/>
          <w:color w:val="888888"/>
        </w:rPr>
        <w:t>[Image placeholder]</w:t>
      </w:r>
    </w:p>
    <w:p>
      <w:pPr>
        <w:spacing w:before="80" w:after="80"/>
        <w:shd w:fill="E8E8E8" w:val="clear"/>
      </w:pPr>
      <w:r>
        <w:rPr>
          <w:i/>
          <w:color w:val="444444"/>
          <w:sz w:val="18"/>
        </w:rPr>
        <w:t>Speaker Notes: Popups</w:t>
        <w:br/>
        <w:t>Popup screens are designed to mimic the functionality of a true popup (which is an entirely separate window). True popups are difficult to architect because there is no easy way to avoid synchronization errors in which the system tries to update the same object in two separate windows. Popup Locations as architected in Guidewire offer virtually the same functionality while avoiding the synchronization and usability issues.</w:t>
      </w:r>
    </w:p>
    <w:p>
      <w:pPr>
        <w:pStyle w:val="Heading3"/>
      </w:pPr>
      <w:r>
        <w:rPr>
          <w:sz w:val="24"/>
        </w:rPr>
        <w:t>Slide 12/30: (Untitled)</w:t>
      </w:r>
    </w:p>
    <w:p>
      <w:r>
        <w:rPr>
          <w:i/>
          <w:color w:val="888888"/>
        </w:rPr>
        <w:t>[Image placeholder]</w:t>
      </w:r>
    </w:p>
    <w:p>
      <w:pPr>
        <w:spacing w:before="80" w:after="80"/>
        <w:shd w:fill="E8E8E8" w:val="clear"/>
      </w:pPr>
      <w:r>
        <w:rPr>
          <w:i/>
          <w:color w:val="444444"/>
          <w:sz w:val="18"/>
        </w:rPr>
        <w:t>Speaker Notes: Worksheets</w:t>
        <w:br/>
        <w:t>The worksheet is an area of the user interface that runs across the bottom. It is visible only when a screen is displayed within it. It is the one area of the user interface that is not always visible.</w:t>
        <w:br/>
        <w:br/>
        <w:t>If multiple worksheets are rendered at one time, the tabs across the top of the worksheets can be used to navigate between worksheets.</w:t>
      </w:r>
    </w:p>
    <w:p>
      <w:pPr>
        <w:pStyle w:val="Heading3"/>
      </w:pPr>
      <w:r>
        <w:rPr>
          <w:sz w:val="24"/>
        </w:rPr>
        <w:t>Slide 13/30: (Untitled)</w:t>
      </w:r>
    </w:p>
    <w:p>
      <w:r>
        <w:rPr>
          <w:i/>
          <w:color w:val="888888"/>
        </w:rPr>
        <w:t>[Image placeholder]</w:t>
      </w:r>
    </w:p>
    <w:p>
      <w:pPr>
        <w:spacing w:before="80" w:after="80"/>
        <w:shd w:fill="E8E8E8" w:val="clear"/>
      </w:pPr>
      <w:r>
        <w:rPr>
          <w:i/>
          <w:color w:val="444444"/>
          <w:sz w:val="18"/>
        </w:rPr>
        <w:t>Speaker Notes: Forwards</w:t>
        <w:br/>
        <w:t>You can use forwards to:</w:t>
        <w:br/>
        <w:t>Modify data before navigating</w:t>
        <w:br/>
        <w:t>Determine the destination Location based on the data context or the user’s permissions</w:t>
      </w:r>
    </w:p>
    <w:p>
      <w:pPr>
        <w:pStyle w:val="Heading3"/>
      </w:pPr>
      <w:r>
        <w:rPr>
          <w:sz w:val="24"/>
        </w:rPr>
        <w:t>Slide 14/30: (Untitled)</w:t>
      </w:r>
    </w:p>
    <w:p>
      <w:r>
        <w:rPr>
          <w:i/>
          <w:color w:val="888888"/>
        </w:rPr>
        <w:t>[Image placeholder]</w:t>
      </w:r>
    </w:p>
    <w:p>
      <w:pPr>
        <w:spacing w:before="80" w:after="80"/>
        <w:shd w:fill="E8E8E8" w:val="clear"/>
      </w:pPr>
      <w:r>
        <w:rPr>
          <w:i/>
          <w:color w:val="444444"/>
          <w:sz w:val="18"/>
        </w:rPr>
        <w:t>Speaker Notes: Exit points</w:t>
        <w:br/>
        <w:t>Exit points are typically used to let users easily access other applications, such as a reporting application.</w:t>
      </w:r>
    </w:p>
    <w:p>
      <w:pPr>
        <w:pStyle w:val="Heading3"/>
      </w:pPr>
      <w:r>
        <w:rPr>
          <w:sz w:val="24"/>
        </w:rPr>
        <w:t>Slide 15/30: (Untitled)</w:t>
      </w:r>
    </w:p>
    <w:p>
      <w:r>
        <w:rPr>
          <w:i/>
          <w:color w:val="888888"/>
        </w:rPr>
        <w:t>[Image placeholder]</w:t>
      </w:r>
    </w:p>
    <w:p>
      <w:pPr>
        <w:spacing w:before="80" w:after="80"/>
        <w:shd w:fill="E8E8E8" w:val="clear"/>
      </w:pPr>
      <w:r>
        <w:rPr>
          <w:i/>
          <w:color w:val="444444"/>
          <w:sz w:val="18"/>
        </w:rPr>
        <w:t>Speaker Notes: Review of Locations navigation</w:t>
        <w:br/>
        <w:t>A Page contains a single screen in the screen area.</w:t>
        <w:br/>
        <w:br/>
        <w:t>A Popup contains a single screen and is designed to return the user to the previous Location once the work on the popup screen is complete.</w:t>
        <w:br/>
        <w:br/>
        <w:t>A Worksheet contains a single screen and a tab (on the bottom) in the workspace frame.</w:t>
        <w:br/>
        <w:br/>
        <w:t>A Location Group organizes a set of menu links (and their associated Locations), a set of menu actions, and an info bar into a group.</w:t>
        <w:br/>
        <w:br/>
        <w:t>A Wizard contains multiple screens in a specific order and a toolbar to work through the wizard.</w:t>
        <w:br/>
        <w:br/>
        <w:t>A Forward contains logic to execute before navigating to another Location</w:t>
        <w:br/>
        <w:br/>
        <w:t>An Exit Point points to a URL outside of the Guidewire application.</w:t>
      </w:r>
    </w:p>
    <w:p>
      <w:pPr>
        <w:pStyle w:val="Heading3"/>
      </w:pPr>
      <w:r>
        <w:rPr>
          <w:sz w:val="24"/>
        </w:rPr>
        <w:t>Slide 16/30: (Untitled)</w:t>
      </w:r>
    </w:p>
    <w:p>
      <w:r>
        <w:rPr>
          <w:i/>
          <w:color w:val="888888"/>
        </w:rPr>
        <w:t>[Image placeholder]</w:t>
      </w:r>
    </w:p>
    <w:p>
      <w:pPr>
        <w:spacing w:before="80" w:after="80"/>
        <w:shd w:fill="E8E8E8" w:val="clear"/>
      </w:pPr>
      <w:r>
        <w:rPr>
          <w:i/>
          <w:color w:val="444444"/>
          <w:sz w:val="18"/>
        </w:rPr>
        <w:t>Speaker Notes: Locations summary</w:t>
        <w:br/>
        <w:t xml:space="preserve">This table provides a summary of Location types, their typical navigation method, what they initially display, and what component of the IJI the initial display is located in. </w:t>
        <w:br/>
        <w:t>Note: In Claim Center and Policy Center, navigation to a wizard typically uses go(). In Billing Center, navigation to a wizard typically uses push().</w:t>
      </w:r>
    </w:p>
    <w:p>
      <w:pPr>
        <w:pStyle w:val="Heading3"/>
      </w:pPr>
      <w:r>
        <w:rPr>
          <w:sz w:val="24"/>
        </w:rPr>
        <w:t>Slide 17/30: (Untitled)</w:t>
      </w:r>
    </w:p>
    <w:p>
      <w:r>
        <w:rPr>
          <w:i/>
          <w:color w:val="888888"/>
        </w:rPr>
        <w:t>[Image placeholder]</w:t>
      </w:r>
    </w:p>
    <w:p>
      <w:pPr>
        <w:pStyle w:val="Heading3"/>
      </w:pPr>
      <w:r>
        <w:rPr>
          <w:sz w:val="24"/>
        </w:rPr>
        <w:t>Slide 18/30: (Untitled)</w:t>
      </w:r>
    </w:p>
    <w:p>
      <w:pPr>
        <w:pStyle w:val="Heading3"/>
      </w:pPr>
      <w:r>
        <w:rPr>
          <w:sz w:val="24"/>
        </w:rPr>
        <w:t>Slide 19/30: (Untitled)</w:t>
      </w:r>
    </w:p>
    <w:p>
      <w:r>
        <w:rPr>
          <w:i/>
          <w:color w:val="888888"/>
        </w:rPr>
        <w:t>[Image placeholder]</w:t>
      </w:r>
    </w:p>
    <w:p>
      <w:pPr>
        <w:spacing w:before="80" w:after="80"/>
        <w:shd w:fill="E8E8E8" w:val="clear"/>
      </w:pPr>
      <w:r>
        <w:rPr>
          <w:i/>
          <w:color w:val="444444"/>
          <w:sz w:val="18"/>
        </w:rPr>
        <w:t>Speaker Notes: Business requirement</w:t>
        <w:br/>
        <w:t xml:space="preserve">In the base configuration of TrainingApp contacts can have a Training App user assigned to them. This user is responsible for maintaining the contact information and resolving any FlagEntries raised during the lifetime of the contact. </w:t>
        <w:br/>
        <w:br/>
        <w:t>We want to make the Assigned User field navigable, so when a user with the appropriate permissions (e.g. Contact Administrator) logs in and clicks on the name of the contact, the system opens a popup and the Contact Administrator can easily see the contact details and/or make changes.</w:t>
        <w:br/>
        <w:br/>
        <w:t>During the initial analysis, we identified that the popup already exists, and it is called UserDetailPopup.pcf- In this demonstration we are no  going to worry about permission control because it's already implemented in the popup. The only thing we need to do is write the code to open the popup.</w:t>
      </w:r>
    </w:p>
    <w:p>
      <w:pPr>
        <w:pStyle w:val="Heading3"/>
      </w:pPr>
      <w:r>
        <w:rPr>
          <w:sz w:val="24"/>
        </w:rPr>
        <w:t>Slide 20/30: (Untitled)</w:t>
      </w:r>
    </w:p>
    <w:p>
      <w:r>
        <w:rPr>
          <w:i/>
          <w:color w:val="888888"/>
        </w:rPr>
        <w:t>[Image placeholder]</w:t>
      </w:r>
    </w:p>
    <w:p>
      <w:pPr>
        <w:pStyle w:val="Heading3"/>
      </w:pPr>
      <w:r>
        <w:rPr>
          <w:sz w:val="24"/>
        </w:rPr>
        <w:t>Slide 21/30: (Untitled)</w:t>
      </w:r>
    </w:p>
    <w:p>
      <w:r>
        <w:rPr>
          <w:i/>
          <w:color w:val="888888"/>
        </w:rPr>
        <w:t>[Image placeholder]</w:t>
      </w:r>
    </w:p>
    <w:p>
      <w:pPr>
        <w:pStyle w:val="Heading3"/>
      </w:pPr>
      <w:r>
        <w:rPr>
          <w:sz w:val="24"/>
        </w:rPr>
        <w:t>Slide 22/30: (Untitled)</w:t>
      </w:r>
    </w:p>
    <w:p>
      <w:r>
        <w:rPr>
          <w:i/>
          <w:color w:val="888888"/>
        </w:rPr>
        <w:t>[Image placeholder]</w:t>
      </w:r>
    </w:p>
    <w:p>
      <w:pPr>
        <w:pStyle w:val="Heading3"/>
      </w:pPr>
      <w:r>
        <w:rPr>
          <w:sz w:val="24"/>
        </w:rPr>
        <w:t>Slide 23/30: (Untitled)</w:t>
      </w:r>
    </w:p>
    <w:p>
      <w:r>
        <w:rPr>
          <w:i/>
          <w:color w:val="888888"/>
        </w:rPr>
        <w:t>[Image placeholder]</w:t>
      </w:r>
    </w:p>
    <w:p>
      <w:pPr>
        <w:pStyle w:val="Heading3"/>
      </w:pPr>
      <w:r>
        <w:rPr>
          <w:sz w:val="24"/>
        </w:rPr>
        <w:t>Slide 24/30: (Untitled)</w:t>
      </w:r>
    </w:p>
    <w:p>
      <w:r>
        <w:rPr>
          <w:i/>
          <w:color w:val="888888"/>
        </w:rPr>
        <w:t>[Image placeholder]</w:t>
      </w:r>
    </w:p>
    <w:p>
      <w:pPr>
        <w:pStyle w:val="Heading3"/>
      </w:pPr>
      <w:r>
        <w:rPr>
          <w:sz w:val="24"/>
        </w:rPr>
        <w:t>Slide 25/30: (Untitled)</w:t>
      </w:r>
    </w:p>
    <w:p>
      <w:r>
        <w:rPr>
          <w:i/>
          <w:color w:val="888888"/>
        </w:rPr>
        <w:t>[Image placeholder]</w:t>
      </w:r>
    </w:p>
    <w:p>
      <w:pPr>
        <w:pStyle w:val="Heading3"/>
      </w:pPr>
      <w:r>
        <w:rPr>
          <w:sz w:val="24"/>
        </w:rPr>
        <w:t>Slide 26/30: (Untitled)</w:t>
      </w:r>
    </w:p>
    <w:p>
      <w:r>
        <w:rPr>
          <w:i/>
          <w:color w:val="888888"/>
        </w:rPr>
        <w:t>[Image placeholder]</w:t>
      </w:r>
    </w:p>
    <w:p>
      <w:pPr>
        <w:pStyle w:val="Heading3"/>
      </w:pPr>
      <w:r>
        <w:rPr>
          <w:sz w:val="24"/>
        </w:rPr>
        <w:t>Slide 27/30: (Untitled)</w:t>
      </w:r>
    </w:p>
    <w:p>
      <w:r>
        <w:rPr>
          <w:i/>
          <w:color w:val="888888"/>
        </w:rPr>
        <w:t>[Image placeholder]</w:t>
      </w:r>
    </w:p>
    <w:p>
      <w:pPr>
        <w:pStyle w:val="Heading3"/>
      </w:pPr>
      <w:r>
        <w:rPr>
          <w:sz w:val="24"/>
        </w:rPr>
        <w:t>Slide 28/30: (Untitled)</w:t>
      </w:r>
    </w:p>
    <w:p>
      <w:r>
        <w:rPr>
          <w:i/>
          <w:color w:val="888888"/>
        </w:rPr>
        <w:t>[Image placeholder]</w:t>
      </w:r>
    </w:p>
    <w:p>
      <w:pPr>
        <w:pStyle w:val="Heading3"/>
      </w:pPr>
      <w:r>
        <w:rPr>
          <w:sz w:val="24"/>
        </w:rPr>
        <w:t>Slide 29/30: (Untitled)</w:t>
      </w:r>
    </w:p>
    <w:p>
      <w:r>
        <w:rPr>
          <w:i/>
          <w:color w:val="888888"/>
        </w:rPr>
        <w:t>[Image placeholder]</w:t>
      </w:r>
    </w:p>
    <w:p>
      <w:pPr>
        <w:pStyle w:val="Heading3"/>
      </w:pPr>
      <w:r>
        <w:rPr>
          <w:sz w:val="24"/>
        </w:rPr>
        <w:t>Slide 30/30: (Untitled)</w:t>
      </w:r>
    </w:p>
    <w:p>
      <w:r>
        <w:rPr>
          <w:i/>
          <w:color w:val="888888"/>
        </w:rPr>
        <w:t>[Image placeholder]</w:t>
      </w:r>
    </w:p>
    <w:p>
      <w:pPr>
        <w:pStyle w:val="Heading2"/>
      </w:pPr>
      <w:r>
        <w:t>Assignment</w:t>
      </w:r>
    </w:p>
    <w:p>
      <w:r>
        <w:rPr>
          <w:b/>
          <w:color w:val="008800"/>
        </w:rPr>
        <w:t>[Assignment 07]: Introduction to Locations</w:t>
      </w:r>
    </w:p>
    <w:p>
      <w:r>
        <w:rPr>
          <w:i/>
          <w:sz w:val="18"/>
        </w:rPr>
        <w:t>File: 07 - Introduction to Locations.pdf</w:t>
      </w:r>
    </w:p>
    <w:p/>
    <w:p>
      <w:pPr>
        <w:spacing w:before="240"/>
        <w:jc w:val="center"/>
      </w:pPr>
      <w:r>
        <w:rPr>
          <w:i/>
          <w:color w:val="999999"/>
          <w:sz w:val="16"/>
        </w:rPr>
        <w:t>--- End of Lesson 7: Introduction to locations | 30 slides | 29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